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9DC" w:rsidRPr="002F5664" w:rsidRDefault="00D909DC">
      <w:pPr>
        <w:spacing w:after="105"/>
        <w:rPr>
          <w:rFonts w:ascii="Arial" w:hAnsi="Arial" w:cs="Arial"/>
          <w:sz w:val="24"/>
          <w:szCs w:val="24"/>
        </w:rPr>
      </w:pPr>
      <w:r w:rsidRPr="002F5664">
        <w:rPr>
          <w:rFonts w:ascii="Arial" w:eastAsia="Arial" w:hAnsi="Arial" w:cs="Arial"/>
          <w:b/>
          <w:sz w:val="24"/>
          <w:szCs w:val="24"/>
        </w:rPr>
        <w:t xml:space="preserve">DOCUMENTACIÓN OBLIGATORIA  </w:t>
      </w:r>
    </w:p>
    <w:p w:rsidR="00D909DC" w:rsidRPr="002F5664" w:rsidRDefault="00D909DC">
      <w:pPr>
        <w:ind w:left="-5"/>
        <w:rPr>
          <w:rFonts w:ascii="Arial" w:hAnsi="Arial" w:cs="Arial"/>
          <w:sz w:val="24"/>
          <w:szCs w:val="24"/>
        </w:rPr>
      </w:pPr>
      <w:r w:rsidRPr="002F5664">
        <w:rPr>
          <w:rFonts w:ascii="Arial" w:hAnsi="Arial" w:cs="Arial"/>
          <w:sz w:val="24"/>
          <w:szCs w:val="24"/>
        </w:rPr>
        <w:t xml:space="preserve">Se aportará la siguiente documentación: </w:t>
      </w:r>
    </w:p>
    <w:p w:rsidR="00D909DC" w:rsidRPr="002F5664" w:rsidRDefault="00D909DC">
      <w:pPr>
        <w:spacing w:after="0"/>
        <w:rPr>
          <w:rFonts w:ascii="Arial" w:hAnsi="Arial" w:cs="Arial"/>
          <w:sz w:val="24"/>
          <w:szCs w:val="24"/>
        </w:rPr>
      </w:pPr>
      <w:r w:rsidRPr="002F5664">
        <w:rPr>
          <w:rFonts w:ascii="Arial" w:hAnsi="Arial" w:cs="Arial"/>
          <w:sz w:val="24"/>
          <w:szCs w:val="24"/>
        </w:rPr>
        <w:t xml:space="preserve"> </w:t>
      </w:r>
    </w:p>
    <w:p w:rsidR="00D909DC" w:rsidRPr="002F5664" w:rsidRDefault="00D909DC">
      <w:pPr>
        <w:ind w:left="-5"/>
        <w:rPr>
          <w:rFonts w:ascii="Arial" w:hAnsi="Arial" w:cs="Arial"/>
          <w:sz w:val="24"/>
          <w:szCs w:val="24"/>
        </w:rPr>
      </w:pPr>
      <w:r w:rsidRPr="002F5664">
        <w:rPr>
          <w:rFonts w:ascii="Arial" w:eastAsia="Arial" w:hAnsi="Arial" w:cs="Arial"/>
          <w:b/>
          <w:sz w:val="24"/>
          <w:szCs w:val="24"/>
        </w:rPr>
        <w:t>Certificados de residencia o formularios</w:t>
      </w:r>
      <w:r w:rsidRPr="002F5664">
        <w:rPr>
          <w:rFonts w:ascii="Arial" w:hAnsi="Arial" w:cs="Arial"/>
          <w:sz w:val="24"/>
          <w:szCs w:val="24"/>
        </w:rPr>
        <w:t xml:space="preserve">: en general, cuando se practique la autoliquidación aplicando las exenciones de la normativa interna española, por razón de la residencia del contribuyente, se adjuntará un certificado de residencia, expedido por las autoridades fiscales del país de residencia, que justifique este derecho. </w:t>
      </w:r>
    </w:p>
    <w:p w:rsidR="00D909DC" w:rsidRPr="002F5664" w:rsidRDefault="00D909DC" w:rsidP="00064523">
      <w:pPr>
        <w:ind w:left="-5"/>
        <w:rPr>
          <w:rFonts w:ascii="Arial" w:hAnsi="Arial" w:cs="Arial"/>
          <w:sz w:val="24"/>
          <w:szCs w:val="24"/>
        </w:rPr>
      </w:pPr>
      <w:r w:rsidRPr="002F5664">
        <w:rPr>
          <w:rFonts w:ascii="Arial" w:hAnsi="Arial" w:cs="Arial"/>
          <w:sz w:val="24"/>
          <w:szCs w:val="24"/>
        </w:rPr>
        <w:t>No obstante, cuando las entidades a que se refiere el apartado 1 de la disposición adicional tercera del Reglam</w:t>
      </w:r>
      <w:bookmarkStart w:id="0" w:name="_GoBack"/>
      <w:bookmarkEnd w:id="0"/>
      <w:r w:rsidRPr="002F5664">
        <w:rPr>
          <w:rFonts w:ascii="Arial" w:hAnsi="Arial" w:cs="Arial"/>
          <w:sz w:val="24"/>
          <w:szCs w:val="24"/>
        </w:rPr>
        <w:t>ento del Impuesto sobre la Renta de no residentes, aprobado por el Real Decreto 1776/2004, de 30 de julio, apliquen la exención prevista en el artículo 14.1.c) del Texto Refundido de la Ley del Impuesto sobre la Renta de no Residentes, aprobado por el Real Decreto legislativo 5/2004, de 5 de marzo, la acreditación de la residencia podrá efectuarse conforme a lo dispuesto en dicha disposición adicional.</w:t>
      </w:r>
    </w:p>
    <w:p w:rsidR="00D909DC" w:rsidRPr="002F5664" w:rsidRDefault="00D909DC">
      <w:pPr>
        <w:spacing w:after="0"/>
        <w:rPr>
          <w:rFonts w:ascii="Arial" w:hAnsi="Arial" w:cs="Arial"/>
          <w:sz w:val="24"/>
          <w:szCs w:val="24"/>
        </w:rPr>
      </w:pPr>
    </w:p>
    <w:p w:rsidR="00D909DC" w:rsidRPr="002F5664" w:rsidRDefault="00D909DC">
      <w:pPr>
        <w:ind w:left="-5"/>
        <w:rPr>
          <w:rFonts w:ascii="Arial" w:hAnsi="Arial" w:cs="Arial"/>
          <w:sz w:val="24"/>
          <w:szCs w:val="24"/>
        </w:rPr>
      </w:pPr>
      <w:r w:rsidRPr="002F5664">
        <w:rPr>
          <w:rFonts w:ascii="Arial" w:hAnsi="Arial" w:cs="Arial"/>
          <w:sz w:val="24"/>
          <w:szCs w:val="24"/>
        </w:rPr>
        <w:t xml:space="preserve">Asimismo, cuando se apliquen las exenciones previstas en el artículo 14.1.k) y 14.1.I) </w:t>
      </w:r>
      <w:proofErr w:type="spellStart"/>
      <w:r w:rsidRPr="002F5664">
        <w:rPr>
          <w:rFonts w:ascii="Arial" w:hAnsi="Arial" w:cs="Arial"/>
          <w:sz w:val="24"/>
          <w:szCs w:val="24"/>
        </w:rPr>
        <w:t>deI</w:t>
      </w:r>
      <w:proofErr w:type="spellEnd"/>
      <w:r w:rsidRPr="002F5664">
        <w:rPr>
          <w:rFonts w:ascii="Arial" w:hAnsi="Arial" w:cs="Arial"/>
          <w:sz w:val="24"/>
          <w:szCs w:val="24"/>
        </w:rPr>
        <w:t xml:space="preserve"> Texto Refundido de la Ley del Impuesto sobre la Renta de no Residentes, aprobado por el Real Decreto Legislativo 5/2004, de 5 de marzo, los fondos de pensiones o instituciones de inversión colectiva sometidos a un régimen específico de supervisión o </w:t>
      </w:r>
      <w:r w:rsidRPr="002F5664">
        <w:rPr>
          <w:rFonts w:ascii="Arial" w:hAnsi="Arial" w:cs="Arial"/>
          <w:sz w:val="24"/>
          <w:szCs w:val="24"/>
        </w:rPr>
        <w:lastRenderedPageBreak/>
        <w:t xml:space="preserve">registro administrativo, justificarán el derecho a la exención, en lugar de con el certificado de residencia, de la siguiente forma: </w:t>
      </w:r>
    </w:p>
    <w:p w:rsidR="00D909DC" w:rsidRPr="002F5664" w:rsidRDefault="00D909DC">
      <w:pPr>
        <w:spacing w:after="0"/>
        <w:rPr>
          <w:rFonts w:ascii="Arial" w:hAnsi="Arial" w:cs="Arial"/>
          <w:sz w:val="24"/>
          <w:szCs w:val="24"/>
        </w:rPr>
      </w:pPr>
      <w:r w:rsidRPr="002F5664">
        <w:rPr>
          <w:rFonts w:ascii="Arial" w:hAnsi="Arial" w:cs="Arial"/>
          <w:sz w:val="24"/>
          <w:szCs w:val="24"/>
        </w:rPr>
        <w:t xml:space="preserve"> </w:t>
      </w:r>
    </w:p>
    <w:p w:rsidR="00D909DC" w:rsidRPr="002F5664" w:rsidRDefault="00D909DC" w:rsidP="00000FC5">
      <w:pPr>
        <w:numPr>
          <w:ilvl w:val="0"/>
          <w:numId w:val="1"/>
        </w:numPr>
        <w:spacing w:after="4" w:line="250" w:lineRule="auto"/>
        <w:ind w:hanging="10"/>
        <w:jc w:val="both"/>
        <w:rPr>
          <w:rFonts w:ascii="Arial" w:hAnsi="Arial" w:cs="Arial"/>
          <w:sz w:val="24"/>
          <w:szCs w:val="24"/>
        </w:rPr>
      </w:pPr>
      <w:r w:rsidRPr="002F5664">
        <w:rPr>
          <w:rFonts w:ascii="Arial" w:hAnsi="Arial" w:cs="Arial"/>
          <w:sz w:val="24"/>
          <w:szCs w:val="24"/>
        </w:rPr>
        <w:t xml:space="preserve">En el caso de la exención del artículo 14.1.k), adjuntarán una declaración formulada por el representante del fondo de pensiones en la que se manifieste el cumplimiento de los requisitos legales, ajustada al modelo del anexo VI de la Orden EHA/3316/2010 (BOE nº 311, de 23 de diciembre de 2010). </w:t>
      </w:r>
    </w:p>
    <w:p w:rsidR="00D909DC" w:rsidRPr="002F5664" w:rsidRDefault="00D909DC" w:rsidP="00064523">
      <w:pPr>
        <w:spacing w:after="4" w:line="250" w:lineRule="auto"/>
        <w:jc w:val="both"/>
        <w:rPr>
          <w:rFonts w:ascii="Arial" w:hAnsi="Arial" w:cs="Arial"/>
          <w:sz w:val="24"/>
          <w:szCs w:val="24"/>
        </w:rPr>
      </w:pPr>
    </w:p>
    <w:p w:rsidR="00D909DC" w:rsidRPr="002F5664" w:rsidRDefault="00D909DC" w:rsidP="00064523">
      <w:pPr>
        <w:spacing w:after="4" w:line="250" w:lineRule="auto"/>
        <w:jc w:val="both"/>
        <w:rPr>
          <w:rFonts w:ascii="Arial" w:hAnsi="Arial" w:cs="Arial"/>
          <w:sz w:val="24"/>
          <w:szCs w:val="24"/>
        </w:rPr>
      </w:pPr>
      <w:r w:rsidRPr="002F5664">
        <w:rPr>
          <w:rFonts w:ascii="Arial" w:hAnsi="Arial" w:cs="Arial"/>
          <w:sz w:val="24"/>
          <w:szCs w:val="24"/>
        </w:rPr>
        <w:t>No obstante, tratándose de una institución de previsión social regulada por la Directiva 2016/2341 del Parlamento Europeo y del Consejo, de 14 de diciembre de 2016, relativa a las actividades y la supervisión de los fondos de pensiones de empleo, podrán adjuntar un certificado emitido por la autoridad competente del Estado en que la institución se encuentre establecida, en los mismos términos y con igual validez indefinida que el previsto en el apartado 2.a), segundo párrafo, de la disposición adicional tercera del Reglamento del Impuesto sobre la Renta de no Residentes.</w:t>
      </w:r>
    </w:p>
    <w:p w:rsidR="00D909DC" w:rsidRPr="002F5664" w:rsidRDefault="00D909DC">
      <w:pPr>
        <w:spacing w:after="0"/>
        <w:rPr>
          <w:rFonts w:ascii="Arial" w:hAnsi="Arial" w:cs="Arial"/>
          <w:sz w:val="24"/>
          <w:szCs w:val="24"/>
        </w:rPr>
      </w:pPr>
      <w:r w:rsidRPr="002F5664">
        <w:rPr>
          <w:rFonts w:ascii="Arial" w:hAnsi="Arial" w:cs="Arial"/>
          <w:sz w:val="24"/>
          <w:szCs w:val="24"/>
        </w:rPr>
        <w:t xml:space="preserve"> </w:t>
      </w:r>
    </w:p>
    <w:p w:rsidR="00D909DC" w:rsidRPr="002F5664" w:rsidRDefault="00D909DC" w:rsidP="00000FC5">
      <w:pPr>
        <w:numPr>
          <w:ilvl w:val="0"/>
          <w:numId w:val="1"/>
        </w:numPr>
        <w:spacing w:after="4" w:line="250" w:lineRule="auto"/>
        <w:ind w:hanging="10"/>
        <w:jc w:val="both"/>
        <w:rPr>
          <w:rFonts w:ascii="Arial" w:hAnsi="Arial" w:cs="Arial"/>
          <w:sz w:val="24"/>
          <w:szCs w:val="24"/>
        </w:rPr>
      </w:pPr>
      <w:r w:rsidRPr="002F5664">
        <w:rPr>
          <w:rFonts w:ascii="Arial" w:hAnsi="Arial" w:cs="Arial"/>
          <w:sz w:val="24"/>
          <w:szCs w:val="24"/>
        </w:rPr>
        <w:t>En el caso de la exención del artículo 14.1.I), adjuntarán un certificado emitido por la autoridad competente del Estado miembro de origen de la institución en el que se manifieste que dicha institución cum</w:t>
      </w:r>
      <w:r w:rsidRPr="002F5664">
        <w:rPr>
          <w:rFonts w:ascii="Arial" w:hAnsi="Arial" w:cs="Arial"/>
          <w:sz w:val="24"/>
          <w:szCs w:val="24"/>
        </w:rPr>
        <w:lastRenderedPageBreak/>
        <w:t xml:space="preserve">ple las condiciones establecidas en la Directiva 2009/65/CE del Parlamento Europeo y del Consejo, de 13 de julio de 2009, por la que se coordinan las disposiciones legales, reglamentarias y administrativas sobre determinados organismos de inversión colectiva en valores mobiliarios (OICVM). La autoridad competente será la designada conforme a lo previsto en el artículo 97 de la citada Directiva. </w:t>
      </w:r>
    </w:p>
    <w:p w:rsidR="00D909DC" w:rsidRPr="002F5664" w:rsidRDefault="00D909DC">
      <w:pPr>
        <w:spacing w:after="0"/>
        <w:rPr>
          <w:rFonts w:ascii="Arial" w:hAnsi="Arial" w:cs="Arial"/>
          <w:sz w:val="24"/>
          <w:szCs w:val="24"/>
        </w:rPr>
      </w:pPr>
      <w:r w:rsidRPr="002F5664">
        <w:rPr>
          <w:rFonts w:ascii="Arial" w:hAnsi="Arial" w:cs="Arial"/>
          <w:sz w:val="24"/>
          <w:szCs w:val="24"/>
        </w:rPr>
        <w:t xml:space="preserve"> </w:t>
      </w:r>
    </w:p>
    <w:p w:rsidR="00D909DC" w:rsidRPr="002F5664" w:rsidRDefault="00D909DC">
      <w:pPr>
        <w:ind w:left="-5"/>
        <w:rPr>
          <w:rFonts w:ascii="Arial" w:hAnsi="Arial" w:cs="Arial"/>
          <w:sz w:val="24"/>
          <w:szCs w:val="24"/>
        </w:rPr>
      </w:pPr>
      <w:r w:rsidRPr="002F5664">
        <w:rPr>
          <w:rFonts w:ascii="Arial" w:hAnsi="Arial" w:cs="Arial"/>
          <w:sz w:val="24"/>
          <w:szCs w:val="24"/>
        </w:rPr>
        <w:t xml:space="preserve">Cuando se practique la autoliquidación aplicando las disposiciones de un Convenio para evitar la doble imposición suscrito por España, se adjuntará un certificado de residencia fiscal expedido por la autoridad fiscal correspondiente que justifique estos derechos, en el que deberá constar expresamente que el contribuyente es residente en el sentido definido en el Convenio. No obstante, cuando se practique la autoliquidación aplicando un límite de imposición fijado en un Convenio desarrollado mediante una Orden en la que se establezca la utilización de un formulario específico, deberá aportarse el mismo en lugar del certificado. </w:t>
      </w:r>
    </w:p>
    <w:p w:rsidR="00D909DC" w:rsidRPr="002F5664" w:rsidRDefault="00D909DC">
      <w:pPr>
        <w:spacing w:after="0"/>
        <w:rPr>
          <w:rFonts w:ascii="Arial" w:hAnsi="Arial" w:cs="Arial"/>
          <w:sz w:val="24"/>
          <w:szCs w:val="24"/>
        </w:rPr>
      </w:pPr>
      <w:r w:rsidRPr="002F5664">
        <w:rPr>
          <w:rFonts w:ascii="Arial" w:hAnsi="Arial" w:cs="Arial"/>
          <w:sz w:val="24"/>
          <w:szCs w:val="24"/>
        </w:rPr>
        <w:t xml:space="preserve"> </w:t>
      </w:r>
    </w:p>
    <w:p w:rsidR="00D909DC" w:rsidRPr="002F5664" w:rsidRDefault="00D909DC">
      <w:pPr>
        <w:ind w:left="-5"/>
        <w:rPr>
          <w:rFonts w:ascii="Arial" w:hAnsi="Arial" w:cs="Arial"/>
          <w:sz w:val="24"/>
          <w:szCs w:val="24"/>
        </w:rPr>
      </w:pPr>
      <w:r w:rsidRPr="002F5664">
        <w:rPr>
          <w:rFonts w:ascii="Arial" w:hAnsi="Arial" w:cs="Arial"/>
          <w:sz w:val="24"/>
          <w:szCs w:val="24"/>
        </w:rPr>
        <w:t xml:space="preserve">Cuando, conforme al artículo 24.6 de la Ley del Impuesto, se deduzcan gastos para la determinación de la base imponible, por tratarse de </w:t>
      </w:r>
      <w:r w:rsidRPr="002F5664">
        <w:rPr>
          <w:rFonts w:ascii="Arial" w:hAnsi="Arial" w:cs="Arial"/>
          <w:sz w:val="24"/>
          <w:szCs w:val="24"/>
        </w:rPr>
        <w:lastRenderedPageBreak/>
        <w:t xml:space="preserve">contribuyentes residentes en otro Estado miembro de la Unión Europea, se adjuntará certificado de residencia fiscal en el Estado que corresponda expedido por la autoridad fiscal de dicho Estado. </w:t>
      </w:r>
    </w:p>
    <w:p w:rsidR="00D909DC" w:rsidRPr="002F5664" w:rsidRDefault="00D909DC">
      <w:pPr>
        <w:spacing w:after="0"/>
        <w:rPr>
          <w:rFonts w:ascii="Arial" w:hAnsi="Arial" w:cs="Arial"/>
          <w:sz w:val="24"/>
          <w:szCs w:val="24"/>
        </w:rPr>
      </w:pPr>
      <w:r w:rsidRPr="002F5664">
        <w:rPr>
          <w:rFonts w:ascii="Arial" w:hAnsi="Arial" w:cs="Arial"/>
          <w:sz w:val="24"/>
          <w:szCs w:val="24"/>
        </w:rPr>
        <w:t xml:space="preserve"> </w:t>
      </w:r>
    </w:p>
    <w:p w:rsidR="00D909DC" w:rsidRPr="002F5664" w:rsidRDefault="00D909DC" w:rsidP="00064523">
      <w:pPr>
        <w:autoSpaceDE w:val="0"/>
        <w:autoSpaceDN w:val="0"/>
        <w:adjustRightInd w:val="0"/>
        <w:jc w:val="both"/>
        <w:rPr>
          <w:rFonts w:ascii="Arial" w:hAnsi="Arial" w:cs="Arial"/>
          <w:sz w:val="24"/>
          <w:szCs w:val="24"/>
        </w:rPr>
      </w:pPr>
      <w:r w:rsidRPr="002F5664">
        <w:rPr>
          <w:rFonts w:ascii="Arial" w:hAnsi="Arial" w:cs="Arial"/>
          <w:sz w:val="24"/>
          <w:szCs w:val="24"/>
        </w:rPr>
        <w:t>Los certificados de residencia y la declaración ajustada al modelo del anexo VI de la Orden EHA/3316/2010 tendrán un plazo de validez de un año a partir de su fecha de expedición. No obstante, tendrán una validez indefinida cuando el contribuyente sea un Estado extranjero, alguna de sus subdivisiones políticas o administrativas o sus entidades locales.  Asimismo, tendrá validez indefinida el certificado emitido por la autoridad competente del Estado miembro de origen de la institución de inversión colectiva a que se refiere la letra b) citada anteriormente en este mismo apartado, en tanto no se modifiquen los datos contenidos en el mismo.</w:t>
      </w:r>
    </w:p>
    <w:p w:rsidR="00D909DC" w:rsidRPr="002F5664" w:rsidRDefault="00D909DC">
      <w:pPr>
        <w:spacing w:after="0"/>
        <w:rPr>
          <w:rFonts w:ascii="Arial" w:hAnsi="Arial" w:cs="Arial"/>
          <w:sz w:val="24"/>
          <w:szCs w:val="24"/>
        </w:rPr>
      </w:pPr>
      <w:r w:rsidRPr="002F5664">
        <w:rPr>
          <w:rFonts w:ascii="Arial" w:hAnsi="Arial" w:cs="Arial"/>
          <w:sz w:val="24"/>
          <w:szCs w:val="24"/>
        </w:rPr>
        <w:t xml:space="preserve"> </w:t>
      </w:r>
    </w:p>
    <w:p w:rsidR="00D909DC" w:rsidRPr="002F5664" w:rsidRDefault="00D909DC" w:rsidP="00064523">
      <w:pPr>
        <w:spacing w:after="0"/>
        <w:rPr>
          <w:rFonts w:ascii="Arial" w:hAnsi="Arial" w:cs="Arial"/>
          <w:sz w:val="24"/>
          <w:szCs w:val="24"/>
        </w:rPr>
      </w:pPr>
      <w:r w:rsidRPr="002F5664">
        <w:rPr>
          <w:rFonts w:ascii="Arial" w:hAnsi="Arial" w:cs="Arial"/>
          <w:sz w:val="24"/>
          <w:szCs w:val="24"/>
        </w:rPr>
        <w:t>No obstante, en el supuesto de autoliquidaciones presentadas por responsables solidarios que sean depositarios de valores bastará con que los mismos conserven a disposición de la Administración Tributaria los certificados de residencia, la declaración ajustada al modelo del anexo VI de la Orden EHA/3316/2010 y formularios a que se refieren los apartados anteriores, durante el período de prescripción del impuesto.</w:t>
      </w:r>
    </w:p>
    <w:p w:rsidR="00D909DC" w:rsidRPr="002F5664" w:rsidRDefault="00D909DC" w:rsidP="00064523">
      <w:pPr>
        <w:spacing w:after="0"/>
        <w:rPr>
          <w:rFonts w:ascii="Arial" w:hAnsi="Arial" w:cs="Arial"/>
          <w:sz w:val="24"/>
          <w:szCs w:val="24"/>
        </w:rPr>
      </w:pPr>
    </w:p>
    <w:p w:rsidR="00D909DC" w:rsidRPr="002F5664" w:rsidRDefault="00D909DC" w:rsidP="00064523">
      <w:pPr>
        <w:spacing w:after="0"/>
        <w:rPr>
          <w:rFonts w:ascii="Arial" w:hAnsi="Arial" w:cs="Arial"/>
          <w:sz w:val="24"/>
          <w:szCs w:val="24"/>
        </w:rPr>
      </w:pPr>
      <w:r w:rsidRPr="002F5664">
        <w:rPr>
          <w:rFonts w:ascii="Arial" w:hAnsi="Arial" w:cs="Arial"/>
          <w:sz w:val="24"/>
          <w:szCs w:val="24"/>
        </w:rPr>
        <w:lastRenderedPageBreak/>
        <w:t>Procedimiento especial: en el caso de entidades de gestión colectiva de derechos de la propiedad intelectual, si se trata de una solicitud de devolución mediante el procedimiento especial de declaración y acreditación previsto en el artículo 12 de la Orden Foral de aprobación del modelo 210, se tendrá en cuenta lo dispuesto en dicho artículo. En estos casos, en la casilla (02) “Tipo de renta” se hará constar el código 32.</w:t>
      </w:r>
    </w:p>
    <w:p w:rsidR="00D909DC" w:rsidRPr="002F5664" w:rsidRDefault="00D909DC" w:rsidP="00064523">
      <w:pPr>
        <w:spacing w:after="0"/>
        <w:rPr>
          <w:rFonts w:ascii="Arial" w:hAnsi="Arial" w:cs="Arial"/>
          <w:sz w:val="24"/>
          <w:szCs w:val="24"/>
        </w:rPr>
      </w:pPr>
    </w:p>
    <w:p w:rsidR="00D909DC" w:rsidRPr="002F5664" w:rsidRDefault="00D909DC" w:rsidP="00064523">
      <w:pPr>
        <w:spacing w:after="0"/>
        <w:rPr>
          <w:rFonts w:ascii="Arial" w:hAnsi="Arial" w:cs="Arial"/>
          <w:sz w:val="24"/>
          <w:szCs w:val="24"/>
        </w:rPr>
      </w:pPr>
      <w:r w:rsidRPr="002F5664">
        <w:rPr>
          <w:rFonts w:ascii="Arial" w:hAnsi="Arial" w:cs="Arial"/>
          <w:sz w:val="24"/>
          <w:szCs w:val="24"/>
        </w:rPr>
        <w:t xml:space="preserve">Procedimiento especial: tratándose de ganancias exentas derivadas de la transmisión de derechos de suscripción procedentes de valores, respecto de las que se ha utilizado el procedimiento especial de declaración y acreditación previsto en el artículo 13 de la Orden de aprobación del modelo 210, se tendrá en cuenta lo dispuesto en dicho artículo. En estos casos, en la casilla (02) “Tipo de renta” se hará constar el código 36. </w:t>
      </w:r>
    </w:p>
    <w:p w:rsidR="00D909DC" w:rsidRPr="002F5664" w:rsidRDefault="00D909DC">
      <w:pPr>
        <w:spacing w:after="0"/>
        <w:rPr>
          <w:rFonts w:ascii="Arial" w:hAnsi="Arial" w:cs="Arial"/>
          <w:sz w:val="24"/>
          <w:szCs w:val="24"/>
        </w:rPr>
      </w:pPr>
      <w:r w:rsidRPr="002F5664">
        <w:rPr>
          <w:rFonts w:ascii="Arial" w:hAnsi="Arial" w:cs="Arial"/>
          <w:sz w:val="24"/>
          <w:szCs w:val="24"/>
        </w:rPr>
        <w:t xml:space="preserve"> </w:t>
      </w:r>
    </w:p>
    <w:p w:rsidR="00D909DC" w:rsidRPr="002F5664" w:rsidRDefault="00D909DC">
      <w:pPr>
        <w:ind w:left="-5"/>
        <w:rPr>
          <w:rFonts w:ascii="Arial" w:hAnsi="Arial" w:cs="Arial"/>
          <w:sz w:val="24"/>
          <w:szCs w:val="24"/>
        </w:rPr>
      </w:pPr>
      <w:r w:rsidRPr="002F5664">
        <w:rPr>
          <w:rFonts w:ascii="Arial" w:eastAsia="Arial" w:hAnsi="Arial" w:cs="Arial"/>
          <w:b/>
          <w:sz w:val="24"/>
          <w:szCs w:val="24"/>
        </w:rPr>
        <w:t>Certificado de retenciones e ingresos a cuenta</w:t>
      </w:r>
      <w:r w:rsidRPr="002F5664">
        <w:rPr>
          <w:rFonts w:ascii="Arial" w:hAnsi="Arial" w:cs="Arial"/>
          <w:sz w:val="24"/>
          <w:szCs w:val="24"/>
        </w:rPr>
        <w:t xml:space="preserve">: cuando se deduzcan de la cuota retenciones o ingresos a cuenta, se adjuntarán los documentos justificativos de los mismos. </w:t>
      </w:r>
    </w:p>
    <w:p w:rsidR="00D909DC" w:rsidRPr="002F5664" w:rsidRDefault="00D909DC" w:rsidP="00064523">
      <w:pPr>
        <w:spacing w:after="0"/>
        <w:rPr>
          <w:rFonts w:ascii="Arial" w:hAnsi="Arial" w:cs="Arial"/>
          <w:sz w:val="24"/>
          <w:szCs w:val="24"/>
        </w:rPr>
      </w:pPr>
      <w:r w:rsidRPr="002F5664">
        <w:rPr>
          <w:rFonts w:ascii="Arial" w:hAnsi="Arial" w:cs="Arial"/>
          <w:sz w:val="24"/>
          <w:szCs w:val="24"/>
        </w:rPr>
        <w:t xml:space="preserve">Procedimiento especial: En el caso de que la renta declarada sea dividendos o intereses derivados de valores negociables, cuyo pago se realiza a través de una cadena de intermediarios financieros situados </w:t>
      </w:r>
      <w:r w:rsidRPr="002F5664">
        <w:rPr>
          <w:rFonts w:ascii="Arial" w:hAnsi="Arial" w:cs="Arial"/>
          <w:sz w:val="24"/>
          <w:szCs w:val="24"/>
        </w:rPr>
        <w:lastRenderedPageBreak/>
        <w:t>en España y en el extranjero, la Administración Tributaria podrá solicitar la acreditación de la trazabilidad de la cadena de pago en el extranjero.</w:t>
      </w:r>
    </w:p>
    <w:p w:rsidR="00D909DC" w:rsidRPr="002F5664" w:rsidRDefault="00D909DC" w:rsidP="00064523">
      <w:pPr>
        <w:spacing w:after="0"/>
        <w:rPr>
          <w:rFonts w:ascii="Arial" w:hAnsi="Arial" w:cs="Arial"/>
          <w:sz w:val="24"/>
          <w:szCs w:val="24"/>
        </w:rPr>
      </w:pPr>
    </w:p>
    <w:p w:rsidR="00D909DC" w:rsidRPr="002F5664" w:rsidRDefault="00D909DC" w:rsidP="00064523">
      <w:pPr>
        <w:spacing w:after="0"/>
        <w:rPr>
          <w:rFonts w:ascii="Arial" w:hAnsi="Arial" w:cs="Arial"/>
          <w:sz w:val="24"/>
          <w:szCs w:val="24"/>
        </w:rPr>
      </w:pPr>
      <w:r w:rsidRPr="002F5664">
        <w:rPr>
          <w:rFonts w:ascii="Arial" w:hAnsi="Arial" w:cs="Arial"/>
          <w:sz w:val="24"/>
          <w:szCs w:val="24"/>
        </w:rPr>
        <w:t>Para devengos desde 2024, se podrá acreditar la trazabilidad cuando, conforme a lo dispuesto en la Orden Foral 183/2009, de 10 de noviembre, del consejero de Economía y Hacienda, por la que se aprueba el modelo 296 "Impuesto sobre la Renta de no Residentes. No residentes sin establecimiento permanente. Declaración anual de retenciones e ingresos a cuenta", se presenten los anexos al tipo de registro 2 del modelo 296 denominados "Valores negociables. Relación de pago a contribuyentes (Tipo de Hoja "A")" y "Valores negociables. Relación de certificados de pago (Tipo de Hoja "B")", consignando en ellos el número de justificante de la autoliquidación modelo 210 con solicitud de devolución relativa al valor negociable, fecha de devengo y contribuyente.</w:t>
      </w:r>
    </w:p>
    <w:p w:rsidR="00D909DC" w:rsidRPr="002F5664" w:rsidRDefault="00D909DC" w:rsidP="00064523">
      <w:pPr>
        <w:spacing w:after="0"/>
        <w:rPr>
          <w:rFonts w:ascii="Arial" w:hAnsi="Arial" w:cs="Arial"/>
          <w:sz w:val="24"/>
          <w:szCs w:val="24"/>
        </w:rPr>
      </w:pPr>
    </w:p>
    <w:p w:rsidR="00D909DC" w:rsidRPr="002F5664" w:rsidRDefault="00D909DC" w:rsidP="00064523">
      <w:pPr>
        <w:spacing w:after="0"/>
        <w:rPr>
          <w:rFonts w:ascii="Arial" w:hAnsi="Arial" w:cs="Arial"/>
          <w:sz w:val="24"/>
          <w:szCs w:val="24"/>
        </w:rPr>
      </w:pPr>
      <w:r w:rsidRPr="002F5664">
        <w:rPr>
          <w:rFonts w:ascii="Arial" w:hAnsi="Arial" w:cs="Arial"/>
          <w:sz w:val="24"/>
          <w:szCs w:val="24"/>
        </w:rPr>
        <w:t xml:space="preserve">Los anexos al registro de tipo 2 del modelo 296, denominados “Valores negociables. Relación de pago a contribuyentes” y “Valores negociables. Relación de certificados de pago” se utilizarán por mediadores en España que realicen los pagos de rentas de valores a intermediarios en el extranjero cuando soliciten la devolución de retenciones para los </w:t>
      </w:r>
      <w:r w:rsidRPr="002F5664">
        <w:rPr>
          <w:rFonts w:ascii="Arial" w:hAnsi="Arial" w:cs="Arial"/>
          <w:sz w:val="24"/>
          <w:szCs w:val="24"/>
        </w:rPr>
        <w:lastRenderedPageBreak/>
        <w:t>contribuyentes mediante el modelo de autoliquidación 210. Cuando la solicitud de devolución de retenciones se realice por contribuyentes o sus representantes, los mediadores en España que realicen los pagos de rentas de valores a intermediarios en el extranjero podrán incluir en los anexos los registros de estos contribuyentes cuyos modelos 210 se hayan presentado.</w:t>
      </w:r>
    </w:p>
    <w:p w:rsidR="00D909DC" w:rsidRPr="002F5664" w:rsidRDefault="00D909DC" w:rsidP="00064523">
      <w:pPr>
        <w:spacing w:after="0"/>
        <w:rPr>
          <w:rFonts w:ascii="Arial" w:hAnsi="Arial" w:cs="Arial"/>
          <w:sz w:val="24"/>
          <w:szCs w:val="24"/>
        </w:rPr>
      </w:pPr>
    </w:p>
    <w:p w:rsidR="00D909DC" w:rsidRPr="002F5664" w:rsidRDefault="00D909DC" w:rsidP="00064523">
      <w:pPr>
        <w:spacing w:after="0"/>
        <w:rPr>
          <w:rFonts w:ascii="Arial" w:hAnsi="Arial" w:cs="Arial"/>
          <w:sz w:val="24"/>
          <w:szCs w:val="24"/>
        </w:rPr>
      </w:pPr>
      <w:r w:rsidRPr="002F5664">
        <w:rPr>
          <w:rFonts w:ascii="Arial" w:hAnsi="Arial" w:cs="Arial"/>
          <w:sz w:val="24"/>
          <w:szCs w:val="24"/>
        </w:rPr>
        <w:t>Cuando, conforme a lo dispuesto en la Orden Foral 183/2009, exista obligación de presentar los anexos al tipo de registro 2 del modelo 296 denominados “Valores negociables. Relación de pago a contribuyentes” y “Valores negociables. Relación de certificados de pago”, las entidades obligadas deberán presentar dichos anexos en el plazo previsto en el artículo 5 de dicha orden foral, consignando en ellos el número de justificante de la autoliquidación modelo 210 con solicitud de devolución relativa al valor negociable, fecha de devengo y contribuyente, pudiéndose entender con ello acreditada la trazabilidad de la cadena de pago en el extranjero.</w:t>
      </w:r>
    </w:p>
    <w:p w:rsidR="00D909DC" w:rsidRPr="002F5664" w:rsidRDefault="00D909DC">
      <w:pPr>
        <w:spacing w:after="0"/>
        <w:rPr>
          <w:rFonts w:ascii="Arial" w:hAnsi="Arial" w:cs="Arial"/>
          <w:sz w:val="24"/>
          <w:szCs w:val="24"/>
        </w:rPr>
      </w:pPr>
      <w:r w:rsidRPr="002F5664">
        <w:rPr>
          <w:rFonts w:ascii="Arial" w:hAnsi="Arial" w:cs="Arial"/>
          <w:sz w:val="24"/>
          <w:szCs w:val="24"/>
        </w:rPr>
        <w:t xml:space="preserve"> </w:t>
      </w:r>
    </w:p>
    <w:p w:rsidR="00D909DC" w:rsidRPr="002F5664" w:rsidRDefault="00D909DC">
      <w:pPr>
        <w:spacing w:after="271"/>
        <w:ind w:left="-5"/>
        <w:rPr>
          <w:rFonts w:ascii="Arial" w:hAnsi="Arial" w:cs="Arial"/>
          <w:sz w:val="24"/>
          <w:szCs w:val="24"/>
        </w:rPr>
      </w:pPr>
      <w:r w:rsidRPr="002F5664">
        <w:rPr>
          <w:rFonts w:ascii="Arial" w:eastAsia="Arial" w:hAnsi="Arial" w:cs="Arial"/>
          <w:b/>
          <w:sz w:val="24"/>
          <w:szCs w:val="24"/>
        </w:rPr>
        <w:t xml:space="preserve">Justificante acreditativo de la identificación y titularidad de la cuenta bancaria: </w:t>
      </w:r>
      <w:r w:rsidRPr="002F5664">
        <w:rPr>
          <w:rFonts w:ascii="Arial" w:hAnsi="Arial" w:cs="Arial"/>
          <w:sz w:val="24"/>
          <w:szCs w:val="24"/>
        </w:rPr>
        <w:t xml:space="preserve">en las autoliquidaciones a devolver, será preciso adjuntar el justificante acreditativo de la identificación y titularidad de la cuenta bancaria a la que se transfiera la devolución. </w:t>
      </w:r>
    </w:p>
    <w:p w:rsidR="00CA1FD1" w:rsidRPr="002F5664" w:rsidRDefault="00CA1FD1" w:rsidP="009E077F">
      <w:pPr>
        <w:spacing w:after="0"/>
        <w:rPr>
          <w:rFonts w:ascii="Arial" w:hAnsi="Arial" w:cs="Arial"/>
          <w:sz w:val="24"/>
          <w:szCs w:val="24"/>
        </w:rPr>
      </w:pPr>
      <w:r w:rsidRPr="002F5664">
        <w:rPr>
          <w:rFonts w:ascii="Arial" w:eastAsia="Arial" w:hAnsi="Arial" w:cs="Arial"/>
          <w:b/>
          <w:sz w:val="24"/>
          <w:szCs w:val="24"/>
        </w:rPr>
        <w:lastRenderedPageBreak/>
        <w:t>Documento acreditativo de la representación</w:t>
      </w:r>
      <w:r w:rsidRPr="002F5664">
        <w:rPr>
          <w:rFonts w:ascii="Arial" w:hAnsi="Arial" w:cs="Arial"/>
          <w:sz w:val="24"/>
          <w:szCs w:val="24"/>
        </w:rPr>
        <w:t>: en las decl</w:t>
      </w:r>
      <w:r w:rsidR="009E077F" w:rsidRPr="002F5664">
        <w:rPr>
          <w:rFonts w:ascii="Arial" w:hAnsi="Arial" w:cs="Arial"/>
          <w:sz w:val="24"/>
          <w:szCs w:val="24"/>
        </w:rPr>
        <w:t xml:space="preserve">araciones a devolver, cuando la </w:t>
      </w:r>
      <w:r w:rsidRPr="002F5664">
        <w:rPr>
          <w:rFonts w:ascii="Arial" w:hAnsi="Arial" w:cs="Arial"/>
          <w:sz w:val="24"/>
          <w:szCs w:val="24"/>
        </w:rPr>
        <w:t>declaración se solicite a una cuenta cuyo titular sea el representante del contribuyente, será</w:t>
      </w:r>
    </w:p>
    <w:p w:rsidR="00CA1FD1" w:rsidRPr="002F5664" w:rsidRDefault="00CA1FD1" w:rsidP="009E077F">
      <w:pPr>
        <w:spacing w:after="0"/>
        <w:rPr>
          <w:rFonts w:ascii="Arial" w:hAnsi="Arial" w:cs="Arial"/>
          <w:sz w:val="24"/>
          <w:szCs w:val="24"/>
        </w:rPr>
      </w:pPr>
      <w:r w:rsidRPr="002F5664">
        <w:rPr>
          <w:rFonts w:ascii="Arial" w:hAnsi="Arial" w:cs="Arial"/>
          <w:sz w:val="24"/>
          <w:szCs w:val="24"/>
        </w:rPr>
        <w:t>preciso adjuntar el poder que acredite la representación acompañado de una copia para su</w:t>
      </w:r>
    </w:p>
    <w:p w:rsidR="009E077F" w:rsidRPr="002F5664" w:rsidRDefault="00CA1FD1" w:rsidP="009E077F">
      <w:pPr>
        <w:spacing w:after="0"/>
        <w:rPr>
          <w:rFonts w:ascii="Arial" w:hAnsi="Arial" w:cs="Arial"/>
          <w:sz w:val="24"/>
          <w:szCs w:val="24"/>
        </w:rPr>
      </w:pPr>
      <w:r w:rsidRPr="002F5664">
        <w:rPr>
          <w:rFonts w:ascii="Arial" w:hAnsi="Arial" w:cs="Arial"/>
          <w:sz w:val="24"/>
          <w:szCs w:val="24"/>
        </w:rPr>
        <w:t>compulsa, en el que debe constar una cláusula que le faculte para re</w:t>
      </w:r>
      <w:r w:rsidR="009E077F" w:rsidRPr="002F5664">
        <w:rPr>
          <w:rFonts w:ascii="Arial" w:hAnsi="Arial" w:cs="Arial"/>
          <w:sz w:val="24"/>
          <w:szCs w:val="24"/>
        </w:rPr>
        <w:t xml:space="preserve">cibir la devolución a favor del </w:t>
      </w:r>
      <w:r w:rsidRPr="002F5664">
        <w:rPr>
          <w:rFonts w:ascii="Arial" w:hAnsi="Arial" w:cs="Arial"/>
          <w:sz w:val="24"/>
          <w:szCs w:val="24"/>
        </w:rPr>
        <w:t>contribuyente. (ver apartado RESULTADO DE LA AUTOLIQUIDACIÓN: Devolución).</w:t>
      </w:r>
    </w:p>
    <w:p w:rsidR="009E077F" w:rsidRPr="002F5664" w:rsidRDefault="009E077F" w:rsidP="009E077F">
      <w:pPr>
        <w:spacing w:after="0"/>
        <w:rPr>
          <w:rFonts w:ascii="Arial" w:hAnsi="Arial" w:cs="Arial"/>
          <w:sz w:val="24"/>
          <w:szCs w:val="24"/>
        </w:rPr>
      </w:pPr>
    </w:p>
    <w:p w:rsidR="00813E7D" w:rsidRPr="002F5664" w:rsidRDefault="00813E7D" w:rsidP="009E077F">
      <w:pPr>
        <w:spacing w:after="0"/>
        <w:rPr>
          <w:rFonts w:ascii="Arial" w:hAnsi="Arial" w:cs="Arial"/>
          <w:sz w:val="24"/>
          <w:szCs w:val="24"/>
        </w:rPr>
      </w:pPr>
      <w:r w:rsidRPr="002F5664">
        <w:rPr>
          <w:rFonts w:ascii="Arial" w:hAnsi="Arial" w:cs="Arial"/>
          <w:sz w:val="24"/>
          <w:szCs w:val="24"/>
        </w:rPr>
        <w:t>En el caso de rentas derivadas de la transmisión de bienes inmuebles,</w:t>
      </w:r>
      <w:r w:rsidRPr="002F5664">
        <w:rPr>
          <w:rFonts w:ascii="Arial" w:hAnsi="Arial" w:cs="Arial"/>
          <w:b/>
          <w:sz w:val="24"/>
          <w:szCs w:val="24"/>
        </w:rPr>
        <w:t xml:space="preserve"> justificantes del precio de adquisición y del valor de transmisión</w:t>
      </w:r>
      <w:r w:rsidRPr="002F5664">
        <w:rPr>
          <w:rFonts w:ascii="Arial" w:hAnsi="Arial" w:cs="Arial"/>
          <w:sz w:val="24"/>
          <w:szCs w:val="24"/>
        </w:rPr>
        <w:t xml:space="preserve"> (copia de ambas escrituras, y en su caso justificantes de las mejoras realizadas). </w:t>
      </w:r>
    </w:p>
    <w:p w:rsidR="00813E7D" w:rsidRPr="002F5664" w:rsidRDefault="00813E7D">
      <w:pPr>
        <w:spacing w:after="271"/>
        <w:ind w:left="-5"/>
        <w:rPr>
          <w:rFonts w:ascii="Arial" w:hAnsi="Arial" w:cs="Arial"/>
          <w:sz w:val="24"/>
          <w:szCs w:val="24"/>
        </w:rPr>
      </w:pPr>
    </w:p>
    <w:p w:rsidR="00813E7D" w:rsidRDefault="00813E7D">
      <w:pPr>
        <w:spacing w:after="271"/>
        <w:ind w:left="-5"/>
      </w:pPr>
    </w:p>
    <w:sectPr w:rsidR="00813E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A41D1"/>
    <w:multiLevelType w:val="hybridMultilevel"/>
    <w:tmpl w:val="4AF86A3A"/>
    <w:lvl w:ilvl="0" w:tplc="C9508AA2">
      <w:start w:val="1"/>
      <w:numFmt w:val="lowerLetter"/>
      <w:lvlText w:val="%1."/>
      <w:lvlJc w:val="left"/>
      <w:pPr>
        <w:ind w:left="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B10E3BC">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31BC68CE">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15EA0BFA">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20EF60C">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238852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1E27E60">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BAC23EA">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A6EDD58">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382"/>
    <w:rsid w:val="001B70FA"/>
    <w:rsid w:val="002F5664"/>
    <w:rsid w:val="00577C68"/>
    <w:rsid w:val="00813E7D"/>
    <w:rsid w:val="00972382"/>
    <w:rsid w:val="009E077F"/>
    <w:rsid w:val="00CA1FD1"/>
    <w:rsid w:val="00D909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7C7D26-5E37-4EF4-8044-68057518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1442</Words>
  <Characters>7935</Characters>
  <Application>Microsoft Office Word</Application>
  <DocSecurity>4</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X037662</dc:creator>
  <cp:keywords/>
  <dc:description/>
  <cp:lastModifiedBy>x073086</cp:lastModifiedBy>
  <cp:revision>2</cp:revision>
  <dcterms:created xsi:type="dcterms:W3CDTF">2024-05-03T08:23:00Z</dcterms:created>
  <dcterms:modified xsi:type="dcterms:W3CDTF">2024-05-03T08:23:00Z</dcterms:modified>
</cp:coreProperties>
</file>