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485" w:rsidRDefault="00784485" w:rsidP="00784485">
      <w:pPr>
        <w:spacing w:line="270" w:lineRule="exact"/>
        <w:ind w:left="-142"/>
        <w:jc w:val="center"/>
        <w:rPr>
          <w:b/>
          <w:sz w:val="22"/>
          <w:szCs w:val="22"/>
          <w:u w:val="single"/>
          <w:rFonts w:ascii="Arial" w:hAnsi="Arial"/>
        </w:rPr>
      </w:pPr>
      <w:r>
        <w:rPr>
          <w:b/>
          <w:sz w:val="22"/>
          <w:u w:val="single"/>
          <w:rFonts w:ascii="Arial" w:hAnsi="Arial"/>
        </w:rPr>
        <w:t xml:space="preserve">“LAN-SOZIETATE”AREN KALIFIKAZIOA ESKURATZEKO BALDINTZA NAGUSIAK, EZARRITA DAUDENAK LAN-SOZIETATEEI ETA PARTAIDETZAKO SOZIETATEEI BURUZKO URRIAREN 14KO 44/2015 LEGEAN</w:t>
      </w:r>
      <w:r>
        <w:rPr>
          <w:b/>
          <w:sz w:val="22"/>
          <w:u w:val="single"/>
          <w:rFonts w:ascii="Arial" w:hAnsi="Arial"/>
        </w:rPr>
        <w:t xml:space="preserve"> </w:t>
      </w:r>
    </w:p>
    <w:p w:rsidR="00784485" w:rsidRPr="0086489B" w:rsidRDefault="00784485" w:rsidP="00784485">
      <w:pPr>
        <w:spacing w:line="270" w:lineRule="exact"/>
        <w:ind w:left="-142"/>
        <w:jc w:val="center"/>
        <w:rPr>
          <w:b/>
          <w:sz w:val="22"/>
          <w:szCs w:val="22"/>
          <w:u w:val="single"/>
          <w:rFonts w:ascii="Arial" w:hAnsi="Arial"/>
        </w:rPr>
      </w:pPr>
    </w:p>
    <w:p w:rsidR="00784485" w:rsidRPr="0086489B" w:rsidRDefault="00784485" w:rsidP="00784485">
      <w:pPr>
        <w:spacing w:line="270" w:lineRule="exact"/>
        <w:rPr>
          <w:rFonts w:ascii="Arial" w:hAnsi="Arial"/>
          <w:b/>
          <w:sz w:val="22"/>
          <w:szCs w:val="22"/>
          <w:u w:val="single"/>
        </w:rPr>
      </w:pPr>
    </w:p>
    <w:p w:rsidR="00784485" w:rsidRPr="0086489B" w:rsidRDefault="00784485" w:rsidP="00784485">
      <w:pPr>
        <w:spacing w:line="270" w:lineRule="exact"/>
        <w:jc w:val="both"/>
        <w:rPr>
          <w:rFonts w:ascii="Arial" w:hAnsi="Arial"/>
          <w:b/>
          <w:sz w:val="22"/>
          <w:szCs w:val="22"/>
          <w:u w:val="single"/>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1.- Sozietatearen izenean “Lan Sozietate Anonimoa”, “Erantzukizun Mugatuko Lan Sozietatea” edo “Lan Sozietate Mugatua” adierazpenak azaldu behar du, edo bestela, laburtzapenak: LSA, EMLS edo LSM.</w:t>
      </w:r>
      <w:r>
        <w:rPr>
          <w:sz w:val="22"/>
          <w:rFonts w:ascii="Arial" w:hAnsi="Arial"/>
        </w:rPr>
        <w:t xml:space="preserve"> </w:t>
      </w:r>
      <w:r>
        <w:rPr>
          <w:sz w:val="22"/>
          <w:rFonts w:ascii="Arial" w:hAnsi="Arial"/>
        </w:rPr>
        <w:t xml:space="preserve">(3. artikulua).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2.- Zerbitzuak ordainsari baten truke, pertsonalki edo zuzenean, eta denbora mugagabeko lan-harremanarekin sozietatean ematen dituzten langileena izatea sozietatearen kapitalaren zatirik handiena.</w:t>
      </w:r>
      <w:r>
        <w:rPr>
          <w:sz w:val="22"/>
          <w:rFonts w:ascii="Arial" w:hAnsi="Arial"/>
        </w:rPr>
        <w:t xml:space="preserve"> </w:t>
      </w:r>
      <w:r>
        <w:rPr>
          <w:sz w:val="22"/>
          <w:rFonts w:ascii="Arial" w:hAnsi="Arial"/>
        </w:rPr>
        <w:t xml:space="preserve">(1. artikulua).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3.- Bazkide titular bakar batek ere ez edukitzea sozietatearen kapitalaren herena baino gehiago osatzen duen akzio edo sozietate-partaidetzen kopurua (1. artikulua), salbu eta lan sozietatea lan-kontratu mugagabea duten bi bazkide langilek eratzen badute hasiera batean, bakoitza sozietate horren kapitalaren eta boto-eskubideen %50aren jabe izanik eta adierazitako mugara (hiru bazkide eta sozietatearen kapitalaren 1/3 gehienez) 36 hilabeteko epean egokitzeko betebeharra edukita.</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4.- Denbora mugagaberako kontratatutako langile ez-bazkideek urtean lan egindako orduen kopurua ez izatea bazkide langileen taldeak lan-sozietatean urtean lan egindako orduen %49 baino gehiago.</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Muga hori kalkulatzeko, ez da kontuan hartuko %33ko edo gahiagoko edozein motatako desgaitasun-maila duten langileek egindako lana.</w:t>
      </w:r>
      <w:r>
        <w:rPr>
          <w:sz w:val="22"/>
          <w:rFonts w:ascii="Arial" w:hAnsi="Arial"/>
        </w:rPr>
        <w:t xml:space="preserve"> </w:t>
      </w:r>
      <w:r>
        <w:rPr>
          <w:sz w:val="22"/>
          <w:rFonts w:ascii="Arial" w:hAnsi="Arial"/>
        </w:rPr>
        <w:t xml:space="preserve">(1. artikulua).</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Jardunean dagoen lan-sozietateak bazkide ez diren langileen urteko orduen muga gainditzen duenean, Lan Sozietateen Administrazio Erregistroari jakinarazi beharko dio, muga hori gainditzen denetik hilabeteko epean. Sozietateak mugen barruan kokatu beharko du berriz, eta horretarako 12 hilabete izango ditu gehienez.</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Politika Ekonomiko eta Enpresarialaren eta Laneko Zuzendaritza Nagusiak gehienez bi luzapen eman ahal izango ditu, bakoitza gehienez hamabi hilabetekoa, betiere luzapen-eskaera bakoitzean egiaztatzen bada aurrerapausoak eman direla aurreikusitako mugetara egokitzeko prozesuan.</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5.- Lan-sozietateen akzio eta partaidetzek balio nominal berbera izango dute eta eskubide ekonomiko berberak emango dituzte. Bi motatakoak izango dira: langileen jabetzakoak eta gainerakoak.</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Lehenengo motakoei “lanekoak” deitzen zaie, eta bigarrenei, “orokorrak”.</w:t>
      </w:r>
      <w:r>
        <w:rPr>
          <w:sz w:val="22"/>
          <w:rFonts w:ascii="Arial" w:hAnsi="Arial"/>
        </w:rPr>
        <w:t xml:space="preserve"> </w:t>
      </w:r>
      <w:r>
        <w:rPr>
          <w:sz w:val="22"/>
          <w:rFonts w:ascii="Arial" w:hAnsi="Arial"/>
        </w:rPr>
        <w:t xml:space="preserve">Lan-sozietateak bi motatako akzio eta partaidetzak izan ditzake.</w:t>
      </w:r>
      <w:r>
        <w:rPr>
          <w:sz w:val="22"/>
          <w:rFonts w:ascii="Arial" w:hAnsi="Arial"/>
        </w:rPr>
        <w:t xml:space="preserve"> </w:t>
      </w:r>
      <w:r>
        <w:rPr>
          <w:sz w:val="22"/>
          <w:rFonts w:ascii="Arial" w:hAnsi="Arial"/>
        </w:rPr>
        <w:t xml:space="preserve">(5. artikulua).</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Estatutuetan kontrakorik aurreikusten ez bada, akzio eta partaidetzak libreki eskualdatu ahal izango zaizkie bazkide langileei eta denbora mugagabeko kontratua duten langile ez-bazkideei.</w:t>
      </w:r>
      <w:r>
        <w:rPr>
          <w:sz w:val="22"/>
          <w:rFonts w:ascii="Arial" w:hAnsi="Arial"/>
        </w:rPr>
        <w:t xml:space="preserve"> </w:t>
      </w:r>
      <w:r>
        <w:rPr>
          <w:sz w:val="22"/>
          <w:rFonts w:ascii="Arial" w:hAnsi="Arial"/>
        </w:rPr>
        <w:t xml:space="preserve">(6. artikulua).</w:t>
      </w:r>
    </w:p>
    <w:p w:rsidR="00784485" w:rsidRDefault="00784485" w:rsidP="00784485">
      <w:pPr>
        <w:spacing w:line="270" w:lineRule="exact"/>
        <w:jc w:val="both"/>
        <w:rPr>
          <w:rFonts w:ascii="Arial" w:hAnsi="Arial"/>
          <w:sz w:val="22"/>
          <w:szCs w:val="22"/>
        </w:rPr>
      </w:pPr>
    </w:p>
    <w:p w:rsidR="00784485"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Gainerako inter vivos eskualdatzeetan, eskualdatu nahi dituen akzio edo partaidetzen kopurua, ezaugarriak eta baldintza ekonomikoak jakinaraziko dizkio akzio eta partaidetzen jabeak sozietateari, sozietateak proposamena interesdun izan daitezkeen guztiei (langile mugagabe, bazkide langile eta bazkide orokorrei) batera helarazteko.</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Erosteko eskaintzak jaso ondoren, administratzaileek eskuratzaileen izenak jakinaraziko dizkiote saltzaileari. Hainbat erosle interesdun egonez gero, hau izango da lehentasun-hurrenkera:</w:t>
      </w:r>
      <w:r>
        <w:rPr>
          <w:sz w:val="22"/>
          <w:rFonts w:ascii="Arial" w:hAnsi="Arial"/>
        </w:rPr>
        <w:t xml:space="preserve"> </w:t>
      </w:r>
      <w:r>
        <w:rPr>
          <w:sz w:val="22"/>
          <w:rFonts w:ascii="Arial" w:hAnsi="Arial"/>
        </w:rPr>
        <w:t xml:space="preserve">langile mugagabe ez-bazkideak, bazkide langileak, bazkide orokorrak eta sozietatea bera.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7.- Legez edo estatutu bidez eduki beharreko erreserbez gain, lan-sozietateak behartuta daude erreserba berezi bat edukitzera. Erreserba horretan, ekitaldi bakoitzeko irabazi garbien %10 sartu behar da, gutxienez sozietatearen kapitalaren bikoitza gainditzera iritsi arte.</w:t>
      </w:r>
      <w:r>
        <w:rPr>
          <w:sz w:val="22"/>
          <w:rFonts w:ascii="Arial" w:hAnsi="Arial"/>
        </w:rPr>
        <w:t xml:space="preserve"> </w:t>
      </w:r>
      <w:r>
        <w:rPr>
          <w:sz w:val="22"/>
          <w:rFonts w:ascii="Arial" w:hAnsi="Arial"/>
        </w:rPr>
        <w:t xml:space="preserve">(14. artikulua).</w:t>
      </w:r>
    </w:p>
    <w:p w:rsidR="00784485" w:rsidRPr="0086489B" w:rsidRDefault="00784485" w:rsidP="00784485">
      <w:pPr>
        <w:spacing w:line="270" w:lineRule="exact"/>
        <w:rPr>
          <w:rFonts w:ascii="Arial" w:hAnsi="Arial"/>
          <w:sz w:val="22"/>
          <w:szCs w:val="22"/>
        </w:rPr>
      </w:pPr>
    </w:p>
    <w:p w:rsidR="00EA11A3" w:rsidRPr="0086489B" w:rsidRDefault="00EA11A3" w:rsidP="0086489B">
      <w:pPr>
        <w:spacing w:line="270" w:lineRule="exact"/>
        <w:rPr>
          <w:rFonts w:ascii="Arial" w:hAnsi="Arial"/>
          <w:sz w:val="22"/>
          <w:szCs w:val="22"/>
        </w:rPr>
      </w:pPr>
    </w:p>
    <w:p w:rsidR="00784485" w:rsidRPr="0086489B" w:rsidRDefault="00EA11A3" w:rsidP="00784485">
      <w:pPr>
        <w:spacing w:line="270" w:lineRule="exact"/>
        <w:jc w:val="center"/>
        <w:rPr>
          <w:b/>
          <w:sz w:val="22"/>
          <w:szCs w:val="22"/>
          <w:u w:val="single"/>
          <w:rFonts w:ascii="Arial" w:hAnsi="Arial"/>
        </w:rPr>
      </w:pPr>
      <w:r>
        <w:br w:type="page"/>
      </w:r>
      <w:r>
        <w:rPr>
          <w:b/>
          <w:sz w:val="22"/>
          <w:u w:val="single"/>
          <w:rFonts w:ascii="Arial" w:hAnsi="Arial"/>
        </w:rPr>
        <w:t xml:space="preserve">LAN-SOZIETATEAREN KALIFIKAZIOA ESKURATZEKO ETA HARI EUSTEKO BALDINTZA NAGUSIAK, EZARRITA DAUDENAK LAN-SOZIETATEEN ADMINISTRAZIO ERREGISTROARI BURUZKO URRIAREN 2KO 2114/1998 ERREGE DEKRETUAN</w:t>
      </w:r>
    </w:p>
    <w:p w:rsidR="00784485" w:rsidRPr="0086489B" w:rsidRDefault="00784485" w:rsidP="00784485">
      <w:pPr>
        <w:spacing w:line="270" w:lineRule="exact"/>
        <w:jc w:val="center"/>
        <w:rPr>
          <w:sz w:val="22"/>
          <w:szCs w:val="22"/>
          <w:u w:val="single"/>
          <w:rFonts w:ascii="Arial" w:hAnsi="Arial"/>
        </w:rPr>
      </w:pPr>
      <w:r>
        <w:rPr>
          <w:sz w:val="22"/>
          <w:u w:val="single"/>
          <w:rFonts w:ascii="Arial" w:hAnsi="Arial"/>
        </w:rPr>
        <w:t xml:space="preserve">(246. BOE, urriaren 14koa)</w:t>
      </w:r>
    </w:p>
    <w:p w:rsidR="00784485" w:rsidRPr="00FF7AD9" w:rsidRDefault="00784485" w:rsidP="00784485">
      <w:pPr>
        <w:spacing w:line="270" w:lineRule="exact"/>
        <w:rPr>
          <w:rFonts w:ascii="Arial" w:hAnsi="Arial"/>
          <w:sz w:val="22"/>
          <w:szCs w:val="22"/>
          <w:u w:val="single"/>
        </w:rPr>
      </w:pPr>
    </w:p>
    <w:p w:rsidR="00784485" w:rsidRPr="00FF7AD9" w:rsidRDefault="00784485" w:rsidP="00784485">
      <w:pPr>
        <w:spacing w:line="270" w:lineRule="exact"/>
        <w:rPr>
          <w:rFonts w:ascii="Arial" w:hAnsi="Arial"/>
          <w:sz w:val="22"/>
          <w:szCs w:val="22"/>
          <w:u w:val="single"/>
        </w:rPr>
      </w:pPr>
    </w:p>
    <w:p w:rsidR="00784485" w:rsidRDefault="00784485" w:rsidP="00784485">
      <w:pPr>
        <w:spacing w:line="270" w:lineRule="exact"/>
        <w:jc w:val="center"/>
        <w:rPr>
          <w:b/>
          <w:sz w:val="22"/>
          <w:szCs w:val="22"/>
          <w:rFonts w:ascii="Arial" w:hAnsi="Arial"/>
        </w:rPr>
      </w:pPr>
      <w:r>
        <w:rPr>
          <w:b/>
          <w:sz w:val="22"/>
          <w:u w:val="single"/>
          <w:rFonts w:ascii="Arial" w:hAnsi="Arial"/>
        </w:rPr>
        <w:t xml:space="preserve">KASUAK</w:t>
      </w:r>
      <w:r>
        <w:rPr>
          <w:b/>
          <w:sz w:val="22"/>
          <w:rFonts w:ascii="Arial" w:hAnsi="Arial"/>
        </w:rPr>
        <w:t xml:space="preserve">:</w:t>
      </w:r>
    </w:p>
    <w:p w:rsidR="00784485" w:rsidRPr="0086489B" w:rsidRDefault="00784485" w:rsidP="00784485">
      <w:pPr>
        <w:spacing w:line="270" w:lineRule="exact"/>
        <w:jc w:val="center"/>
        <w:rPr>
          <w:rFonts w:ascii="Arial" w:hAnsi="Arial"/>
          <w:b/>
          <w:sz w:val="22"/>
          <w:szCs w:val="22"/>
          <w:u w:val="single"/>
        </w:rPr>
      </w:pPr>
    </w:p>
    <w:p w:rsidR="00784485" w:rsidRPr="00FF7AD9" w:rsidRDefault="00784485" w:rsidP="00784485">
      <w:pPr>
        <w:spacing w:line="270" w:lineRule="exact"/>
        <w:rPr>
          <w:rFonts w:ascii="Arial" w:hAnsi="Arial"/>
          <w:sz w:val="22"/>
          <w:szCs w:val="22"/>
          <w:u w:val="single"/>
        </w:rPr>
      </w:pPr>
    </w:p>
    <w:p w:rsidR="00784485" w:rsidRPr="0086489B" w:rsidRDefault="00784485" w:rsidP="00784485">
      <w:pPr>
        <w:spacing w:line="270" w:lineRule="exact"/>
        <w:rPr>
          <w:b/>
          <w:sz w:val="22"/>
          <w:szCs w:val="22"/>
          <w:rFonts w:ascii="Arial" w:hAnsi="Arial"/>
        </w:rPr>
      </w:pPr>
      <w:r>
        <w:rPr>
          <w:b/>
          <w:sz w:val="22"/>
          <w:rFonts w:ascii="Arial" w:hAnsi="Arial"/>
        </w:rPr>
        <w:t xml:space="preserve">1.- </w:t>
      </w:r>
      <w:r>
        <w:rPr>
          <w:b/>
          <w:sz w:val="22"/>
          <w:u w:val="single"/>
          <w:rFonts w:ascii="Arial" w:hAnsi="Arial"/>
        </w:rPr>
        <w:t xml:space="preserve">Lan-sozietate berria</w:t>
      </w:r>
    </w:p>
    <w:p w:rsidR="00784485" w:rsidRPr="00FF7AD9" w:rsidRDefault="00784485" w:rsidP="00784485">
      <w:pPr>
        <w:spacing w:line="270" w:lineRule="exact"/>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Sozietate berriak Lan Sozietateen Administrazio Erregistroan aurkeztu beharko ditu sozietate berria eratzeko eskrituraren kopia baimendua eta kopia soila. Eskritura horretan, Lan Sozietateei eta Partaidetza Sozietateei buruzko urriaren 14ko 44/2015 Legeak aurreikusitako eduki-betekizunez gain, berariaz adierazi beharko da egilesleek lan-sozietate bat eratzeko borondatea dutela.</w:t>
      </w:r>
      <w:r>
        <w:rPr>
          <w:sz w:val="22"/>
          <w:rFonts w:ascii="Arial" w:hAnsi="Arial"/>
        </w:rPr>
        <w:t xml:space="preserve"> </w:t>
      </w:r>
      <w:r>
        <w:rPr>
          <w:sz w:val="22"/>
          <w:rFonts w:ascii="Arial" w:hAnsi="Arial"/>
        </w:rPr>
        <w:t xml:space="preserve">(2. artikulua).</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b/>
          <w:sz w:val="22"/>
          <w:szCs w:val="22"/>
          <w:u w:val="single"/>
          <w:rFonts w:ascii="Arial" w:hAnsi="Arial"/>
        </w:rPr>
      </w:pPr>
      <w:r>
        <w:rPr>
          <w:b/>
          <w:sz w:val="22"/>
          <w:rFonts w:ascii="Arial" w:hAnsi="Arial"/>
        </w:rPr>
        <w:t xml:space="preserve">2.- </w:t>
      </w:r>
      <w:r>
        <w:rPr>
          <w:b/>
          <w:sz w:val="22"/>
          <w:u w:val="single"/>
          <w:rFonts w:ascii="Arial" w:hAnsi="Arial"/>
        </w:rPr>
        <w:t xml:space="preserve">Lehendik zegoen sozietate bat lan-sozietate bilakatzea</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Kasu horretan, kalifikazio-eskaeraz gain, sozietate anonimo edo erantzukizun mugatuko sozietate gisa eratzeko eskrituraren kopia baimendua eta kopia soila ere aurkeztu beharko dira Lan Sozietateen Administrazio Erregistroan, eta, hala badagokio, lan-sozietate gisa kalifikatzeko erabakia hartu aurreko estatutuen aldaketaren kopia baimendua eta kopia soila, Merkataritza Erregistroan behar bezala inskribatuak.</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Agiri horiei honako hauek erantsi beharko zaizkie:</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numPr>
          <w:ilvl w:val="0"/>
          <w:numId w:val="3"/>
        </w:numPr>
        <w:spacing w:line="270" w:lineRule="exact"/>
        <w:jc w:val="both"/>
        <w:rPr>
          <w:sz w:val="22"/>
          <w:szCs w:val="22"/>
          <w:rFonts w:ascii="Arial" w:hAnsi="Arial"/>
        </w:rPr>
      </w:pPr>
      <w:r>
        <w:rPr>
          <w:sz w:val="22"/>
          <w:rFonts w:ascii="Arial" w:hAnsi="Arial"/>
        </w:rPr>
        <w:t xml:space="preserve">Sozietatearen indarreko idazpenei buruzko hitzez hitzeko ziurtagiria, Merkataritza Erregistroak emana.</w:t>
      </w:r>
    </w:p>
    <w:p w:rsidR="00784485" w:rsidRPr="0086489B" w:rsidRDefault="00784485" w:rsidP="00784485">
      <w:pPr>
        <w:numPr>
          <w:ilvl w:val="0"/>
          <w:numId w:val="3"/>
        </w:numPr>
        <w:spacing w:line="270" w:lineRule="exact"/>
        <w:jc w:val="both"/>
        <w:rPr>
          <w:sz w:val="22"/>
          <w:szCs w:val="22"/>
          <w:rFonts w:ascii="Arial" w:hAnsi="Arial"/>
        </w:rPr>
      </w:pPr>
      <w:r>
        <w:rPr>
          <w:sz w:val="22"/>
          <w:rFonts w:ascii="Arial" w:hAnsi="Arial"/>
        </w:rPr>
        <w:t xml:space="preserve">Batzar Orokorrak lan-sozietatea kalifikatzearen eta estatutuetako artikuluak aldatzearen alde hartutako erabakiak publiko egiteko eskrituraren kopia baimendua eta kopia soila, estatutuak Lan Sozietateen eta Partaidetza Sozietateen Legera egokitzeko.</w:t>
      </w:r>
    </w:p>
    <w:p w:rsidR="00784485" w:rsidRPr="0086489B" w:rsidRDefault="00784485" w:rsidP="00784485">
      <w:pPr>
        <w:numPr>
          <w:ilvl w:val="0"/>
          <w:numId w:val="3"/>
        </w:numPr>
        <w:spacing w:line="270" w:lineRule="exact"/>
        <w:jc w:val="both"/>
        <w:rPr>
          <w:sz w:val="22"/>
          <w:szCs w:val="22"/>
          <w:rFonts w:ascii="Arial" w:hAnsi="Arial"/>
        </w:rPr>
      </w:pPr>
      <w:r>
        <w:rPr>
          <w:sz w:val="22"/>
          <w:rFonts w:ascii="Arial" w:hAnsi="Arial"/>
        </w:rPr>
        <w:t xml:space="preserve">Pertsona berberek emandako ziurtagiria, akzio edo partaidetzen titulartasuna jasotzen duena. Ziurtagiri hori ez da eskritura publikoan jaso behar, eta akzio izendunen erregistro-liburuari edo bazkideen erregistro-liburuari buruzkoa izan behar du.</w:t>
      </w:r>
      <w:r>
        <w:rPr>
          <w:sz w:val="22"/>
          <w:rFonts w:ascii="Arial" w:hAnsi="Arial"/>
        </w:rPr>
        <w:t xml:space="preserve"> </w:t>
      </w:r>
      <w:r>
        <w:rPr>
          <w:sz w:val="22"/>
          <w:rFonts w:ascii="Arial" w:hAnsi="Arial"/>
        </w:rPr>
        <w:t xml:space="preserve">(2. artikulua).</w:t>
      </w:r>
    </w:p>
    <w:p w:rsidR="00784485"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b/>
          <w:sz w:val="22"/>
          <w:szCs w:val="22"/>
          <w:rFonts w:ascii="Arial" w:hAnsi="Arial"/>
        </w:rPr>
      </w:pPr>
      <w:r>
        <w:rPr>
          <w:b/>
          <w:sz w:val="22"/>
          <w:rFonts w:ascii="Arial" w:hAnsi="Arial"/>
        </w:rPr>
        <w:t xml:space="preserve">3.- </w:t>
      </w:r>
      <w:r>
        <w:rPr>
          <w:b/>
          <w:sz w:val="22"/>
          <w:u w:val="single"/>
          <w:rFonts w:ascii="Arial" w:hAnsi="Arial"/>
        </w:rPr>
        <w:t xml:space="preserve">Estatutuak aldatzea, eta aldaketak eragina izatea sozietate-kapitalaren osaeran</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Kasu horretan, sozietatearen kapitala aldatzeko erabakia publiko egiten duen eskrituraren kopia soil bat eta baimendutako kopia bat aurkeztu beharko dira.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Aldi berean, horren ondorioz sortutako akzio edo partaidetza sozialen titulartasun-aldaketa egiaztatzen duen ziurtagiria aurkeztuko da, dokumentu pribatu batean.</w:t>
      </w:r>
      <w:r>
        <w:rPr>
          <w:sz w:val="22"/>
          <w:rFonts w:ascii="Arial" w:hAnsi="Arial"/>
        </w:rPr>
        <w:t xml:space="preserve"> </w:t>
      </w:r>
      <w:r>
        <w:rPr>
          <w:sz w:val="22"/>
          <w:rFonts w:ascii="Arial" w:hAnsi="Arial"/>
        </w:rPr>
        <w:t xml:space="preserve">(5. artikulua).</w:t>
      </w:r>
    </w:p>
    <w:p w:rsidR="00784485" w:rsidRPr="0086489B" w:rsidRDefault="00784485" w:rsidP="00784485">
      <w:pPr>
        <w:spacing w:line="270" w:lineRule="exact"/>
        <w:jc w:val="center"/>
        <w:rPr>
          <w:rFonts w:ascii="Arial" w:hAnsi="Arial"/>
          <w:sz w:val="22"/>
          <w:szCs w:val="22"/>
        </w:rPr>
      </w:pPr>
    </w:p>
    <w:p w:rsidR="00784485" w:rsidRPr="0086489B" w:rsidRDefault="00784485" w:rsidP="00784485">
      <w:pPr>
        <w:spacing w:line="270" w:lineRule="exact"/>
        <w:jc w:val="center"/>
        <w:rPr>
          <w:rFonts w:ascii="Arial" w:hAnsi="Arial"/>
          <w:sz w:val="22"/>
          <w:szCs w:val="22"/>
        </w:rPr>
      </w:pPr>
    </w:p>
    <w:p w:rsidR="00784485" w:rsidRPr="0086489B" w:rsidRDefault="00784485" w:rsidP="00784485">
      <w:pPr>
        <w:spacing w:line="270" w:lineRule="exact"/>
        <w:rPr>
          <w:b/>
          <w:sz w:val="22"/>
          <w:szCs w:val="22"/>
          <w:u w:val="single"/>
          <w:rFonts w:ascii="Arial" w:hAnsi="Arial"/>
        </w:rPr>
      </w:pPr>
      <w:r>
        <w:rPr>
          <w:b/>
          <w:sz w:val="22"/>
          <w:rFonts w:ascii="Arial" w:hAnsi="Arial"/>
        </w:rPr>
        <w:t xml:space="preserve">4.- </w:t>
      </w:r>
      <w:r>
        <w:rPr>
          <w:b/>
          <w:sz w:val="22"/>
          <w:u w:val="single"/>
          <w:rFonts w:ascii="Arial" w:hAnsi="Arial"/>
        </w:rPr>
        <w:t xml:space="preserve">Sozietatearen egoitza udalerritik kanpo aldatzea</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Kasu horretan, nahitaezkoa da kopia baimendu bat eta kopia sinple bat aurkeztea, ordura arte egoitza soziala zegoen udalerritik kanpo aldatzeari buruzko erabakia jasotzen duena.</w:t>
      </w:r>
      <w:r>
        <w:rPr>
          <w:sz w:val="22"/>
          <w:rFonts w:ascii="Arial" w:hAnsi="Arial"/>
        </w:rPr>
        <w:t xml:space="preserve"> </w:t>
      </w:r>
      <w:r>
        <w:rPr>
          <w:sz w:val="22"/>
          <w:rFonts w:ascii="Arial" w:hAnsi="Arial"/>
        </w:rPr>
        <w:t xml:space="preserve">(5. artikulua).</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sz w:val="22"/>
          <w:szCs w:val="22"/>
          <w:rFonts w:ascii="Arial" w:hAnsi="Arial"/>
        </w:rPr>
      </w:pPr>
      <w:r>
        <w:rPr>
          <w:b/>
          <w:sz w:val="22"/>
          <w:u w:val="single"/>
          <w:rFonts w:ascii="Arial" w:hAnsi="Arial"/>
        </w:rPr>
        <w:t xml:space="preserve">5.- Akzioak edo partaidetza sozialak eskualdatzea</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Azkenik, lan-sozietateak ekitaldi ekonomiko bakoitzeko lehen hiru hilabeteen barruan jakinarazi beharko dizkio Lan Sozietateen Administrazio Erregistroari ekitaldi horretan izan diren akzio edo partaidetza sozialen eskualdatzeak, eta aldi horretan egindako idazpenen ziurtagiria aurkeztu beharko du. Idazpenok akzio izendunen erregistro-liburuan edo bazkideen liburuan eginak izango dira, dagokionaren arabera.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sz w:val="22"/>
          <w:szCs w:val="22"/>
          <w:rFonts w:ascii="Arial" w:hAnsi="Arial"/>
        </w:rPr>
      </w:pPr>
      <w:r>
        <w:rPr>
          <w:sz w:val="22"/>
          <w:rFonts w:ascii="Arial" w:hAnsi="Arial"/>
        </w:rPr>
        <w:tab/>
      </w:r>
      <w:r>
        <w:rPr>
          <w:sz w:val="22"/>
          <w:rFonts w:ascii="Arial" w:hAnsi="Arial"/>
        </w:rPr>
        <w:t xml:space="preserve">Eskualdaketa horiek Lan Sozietateen eta Partaidetza Sozietateen indarreko Legearen 1.2 artikuluan ezarritako mugak gainditzen badituzte, sozietateak hilabeteko epea izango du erregistroari horren berri emateko, inguruabar hori jasotzen duen idazpena egiten denetik zenbatzen hasita.</w:t>
      </w:r>
      <w:r>
        <w:rPr>
          <w:sz w:val="22"/>
          <w:rFonts w:ascii="Arial" w:hAnsi="Arial"/>
        </w:rPr>
        <w:t xml:space="preserve"> </w:t>
      </w:r>
      <w:r>
        <w:rPr>
          <w:sz w:val="22"/>
          <w:rFonts w:ascii="Arial" w:hAnsi="Arial"/>
        </w:rPr>
        <w:t xml:space="preserve">(6. artikulua).</w:t>
      </w:r>
      <w:r>
        <w:rPr>
          <w:sz w:val="22"/>
          <w:rFonts w:ascii="Arial" w:hAnsi="Arial"/>
        </w:rPr>
        <w:t xml:space="preserve"> </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b/>
          <w:sz w:val="22"/>
          <w:szCs w:val="22"/>
          <w:rFonts w:ascii="Arial" w:hAnsi="Arial"/>
        </w:rPr>
      </w:pPr>
      <w:r>
        <w:rPr>
          <w:sz w:val="22"/>
          <w:rFonts w:ascii="Arial" w:hAnsi="Arial"/>
        </w:rPr>
        <w:tab/>
      </w:r>
      <w:r>
        <w:rPr>
          <w:sz w:val="22"/>
          <w:rFonts w:ascii="Arial" w:hAnsi="Arial"/>
        </w:rPr>
        <w:t xml:space="preserve">Legez kanpoko egoera zuzendu dela jakinarazi beharko zaio, halaber, erregistro-organo horri, sozietatea legezko mugetara itzuli dela jasotzen duen idazpena egiten denetik hilabeteko epean.</w:t>
      </w:r>
      <w:r>
        <w:rPr>
          <w:sz w:val="22"/>
          <w:rFonts w:ascii="Arial" w:hAnsi="Arial"/>
        </w:rPr>
        <w:t xml:space="preserve"> </w:t>
      </w:r>
      <w:r>
        <w:rPr>
          <w:sz w:val="22"/>
          <w:rFonts w:ascii="Arial" w:hAnsi="Arial"/>
        </w:rPr>
        <w:t xml:space="preserve">(6. artikulua).</w:t>
      </w:r>
    </w:p>
    <w:p w:rsidR="00EA11A3" w:rsidRPr="0086489B" w:rsidRDefault="00EA11A3" w:rsidP="00784485">
      <w:pPr>
        <w:spacing w:line="270" w:lineRule="exact"/>
        <w:jc w:val="center"/>
      </w:pPr>
    </w:p>
    <w:sectPr w:rsidR="00EA11A3" w:rsidRPr="0086489B" w:rsidSect="005C25C4">
      <w:headerReference w:type="default" r:id="rId7"/>
      <w:footerReference w:type="even" r:id="rId8"/>
      <w:footerReference w:type="default" r:id="rId9"/>
      <w:type w:val="continuous"/>
      <w:pgSz w:w="11907" w:h="16840" w:code="9"/>
      <w:pgMar w:top="2835" w:right="1134" w:bottom="1134" w:left="1701" w:header="851" w:footer="40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4E" w:rsidRDefault="001A784E">
      <w:r>
        <w:separator/>
      </w:r>
    </w:p>
  </w:endnote>
  <w:endnote w:type="continuationSeparator" w:id="0">
    <w:p w:rsidR="001A784E" w:rsidRDefault="001A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00" w:rsidRDefault="00D22700" w:rsidP="002E18F9">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rsidR="00D22700" w:rsidRDefault="00D22700" w:rsidP="00D22700">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5C25C4" w:rsidRPr="005C25C4" w:rsidTr="005C25C4">
      <w:trPr>
        <w:jc w:val="center"/>
      </w:trPr>
      <w:tc>
        <w:tcPr>
          <w:tcW w:w="10491" w:type="dxa"/>
        </w:tcPr>
        <w:p w:rsidR="005C25C4" w:rsidRPr="005C25C4" w:rsidRDefault="00094AA0" w:rsidP="005C25C4">
          <w:pPr>
            <w:jc w:val="center"/>
            <w:rPr>
              <w:sz w:val="14"/>
              <w:szCs w:val="14"/>
              <w:rFonts w:ascii="Arial" w:hAnsi="Arial" w:cs="Arial"/>
            </w:rPr>
          </w:pPr>
          <w:r>
            <w:rPr>
              <w:sz w:val="14"/>
              <w:rFonts w:ascii="Arial" w:hAnsi="Arial"/>
            </w:rPr>
            <w:t xml:space="preserve">Or.:</w:t>
          </w:r>
          <w:r>
            <w:rPr>
              <w:sz w:val="14"/>
              <w:rFonts w:ascii="Arial" w:hAnsi="Arial"/>
            </w:rPr>
            <w:t xml:space="preserve"> </w:t>
          </w:r>
          <w:r>
            <w:rPr>
              <w:sz w:val="16"/>
            </w:rPr>
            <w:fldChar w:fldCharType="begin"/>
          </w:r>
          <w:r>
            <w:rPr>
              <w:sz w:val="16"/>
            </w:rPr>
            <w:instrText xml:space="preserve"> PAGE  \* MERGEFORMAT </w:instrText>
          </w:r>
          <w:r>
            <w:rPr>
              <w:sz w:val="16"/>
            </w:rPr>
            <w:fldChar w:fldCharType="separate"/>
          </w:r>
          <w:r w:rsidR="00DC5250">
            <w:rPr>
              <w:sz w:val="16"/>
            </w:rPr>
            <w:t>1</w:t>
          </w:r>
          <w:r>
            <w:rPr>
              <w:sz w:val="16"/>
            </w:rPr>
            <w:fldChar w:fldCharType="end"/>
          </w:r>
          <w:r>
            <w:rPr>
              <w:sz w:val="16"/>
            </w:rPr>
            <w:t xml:space="preserve">/</w:t>
          </w:r>
          <w:r>
            <w:rPr>
              <w:sz w:val="16"/>
            </w:rPr>
            <w:fldChar w:fldCharType="begin" w:dirty="true"/>
          </w:r>
          <w:r>
            <w:rPr>
              <w:sz w:val="16"/>
            </w:rPr>
            <w:instrText xml:space="preserve"> NUMPAGES  \* MERGEFORMAT </w:instrText>
          </w:r>
          <w:r>
            <w:rPr>
              <w:sz w:val="16"/>
            </w:rPr>
            <w:fldChar w:fldCharType="separate"/>
          </w:r>
          <w:r w:rsidR="00DC5250">
            <w:rPr>
              <w:sz w:val="16"/>
            </w:rPr>
            <w:t>1</w:t>
          </w:r>
          <w:r>
            <w:rPr>
              <w:sz w:val="16"/>
            </w:rPr>
            <w:fldChar w:fldCharType="end"/>
          </w:r>
        </w:p>
      </w:tc>
    </w:tr>
  </w:tbl>
  <w:p w:rsidR="005A3ADB" w:rsidRDefault="005A3ADB">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4E" w:rsidRDefault="001A784E">
      <w:r>
        <w:separator/>
      </w:r>
    </w:p>
  </w:footnote>
  <w:footnote w:type="continuationSeparator" w:id="0">
    <w:p w:rsidR="001A784E" w:rsidRDefault="001A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00" w:rsidRDefault="00F601A2">
    <w:pPr>
      <w:pStyle w:val="Goiburua"/>
    </w:pPr>
    <w: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1" name="Imagen 1"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545"/>
    <w:multiLevelType w:val="hybridMultilevel"/>
    <w:tmpl w:val="0B0E77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4315221"/>
    <w:multiLevelType w:val="multilevel"/>
    <w:tmpl w:val="8CB69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8C207BB"/>
    <w:multiLevelType w:val="hybridMultilevel"/>
    <w:tmpl w:val="991C3EC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27"/>
    <w:rsid w:val="000705BD"/>
    <w:rsid w:val="00077698"/>
    <w:rsid w:val="00094AA0"/>
    <w:rsid w:val="000B090A"/>
    <w:rsid w:val="000D7168"/>
    <w:rsid w:val="00104E51"/>
    <w:rsid w:val="00121833"/>
    <w:rsid w:val="001755E1"/>
    <w:rsid w:val="001A784E"/>
    <w:rsid w:val="001D0FDE"/>
    <w:rsid w:val="00204158"/>
    <w:rsid w:val="00223E69"/>
    <w:rsid w:val="00274256"/>
    <w:rsid w:val="002B780C"/>
    <w:rsid w:val="002D5E3D"/>
    <w:rsid w:val="002E18F9"/>
    <w:rsid w:val="00362A33"/>
    <w:rsid w:val="00413927"/>
    <w:rsid w:val="00500950"/>
    <w:rsid w:val="00531840"/>
    <w:rsid w:val="00596456"/>
    <w:rsid w:val="005A3ADB"/>
    <w:rsid w:val="005B33B6"/>
    <w:rsid w:val="005C25C4"/>
    <w:rsid w:val="005E4C62"/>
    <w:rsid w:val="005E667F"/>
    <w:rsid w:val="007831F2"/>
    <w:rsid w:val="00784485"/>
    <w:rsid w:val="008032F3"/>
    <w:rsid w:val="00855758"/>
    <w:rsid w:val="0086489B"/>
    <w:rsid w:val="008832A4"/>
    <w:rsid w:val="00930328"/>
    <w:rsid w:val="00951231"/>
    <w:rsid w:val="00952762"/>
    <w:rsid w:val="00A22FB0"/>
    <w:rsid w:val="00A430FE"/>
    <w:rsid w:val="00AD3811"/>
    <w:rsid w:val="00B30DF6"/>
    <w:rsid w:val="00B92900"/>
    <w:rsid w:val="00C13362"/>
    <w:rsid w:val="00C72625"/>
    <w:rsid w:val="00CC2033"/>
    <w:rsid w:val="00D0001E"/>
    <w:rsid w:val="00D22700"/>
    <w:rsid w:val="00D4626F"/>
    <w:rsid w:val="00DA3FAC"/>
    <w:rsid w:val="00DC5250"/>
    <w:rsid w:val="00EA11A3"/>
    <w:rsid w:val="00EB79FB"/>
    <w:rsid w:val="00F57310"/>
    <w:rsid w:val="00F601A2"/>
    <w:rsid w:val="00F9136B"/>
    <w:rsid w:val="00FF7A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5:docId w15:val="{DC82D32D-2DF8-4493-9413-308868EF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rFonts w:ascii="Courier New" w:hAnsi="Courier New"/>
      <w:sz w:val="24"/>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
    <w:name w:val="Body Text Indent"/>
    <w:basedOn w:val="Normala"/>
    <w:pPr>
      <w:spacing w:line="360" w:lineRule="auto"/>
      <w:ind w:left="-1134"/>
    </w:pPr>
    <w:rPr>
      <w:rFonts w:ascii="Arial" w:hAnsi="Arial"/>
      <w:b/>
    </w:rPr>
  </w:style>
  <w:style w:type="paragraph" w:styleId="Goiburua">
    <w:name w:val="header"/>
    <w:basedOn w:val="Normala"/>
    <w:rsid w:val="00EB79FB"/>
    <w:pPr>
      <w:tabs>
        <w:tab w:val="center" w:pos="4252"/>
        <w:tab w:val="right" w:pos="8504"/>
      </w:tabs>
    </w:pPr>
  </w:style>
  <w:style w:type="paragraph" w:styleId="Orri-oina">
    <w:name w:val="footer"/>
    <w:basedOn w:val="Normala"/>
    <w:rsid w:val="00EB79FB"/>
    <w:pPr>
      <w:tabs>
        <w:tab w:val="center" w:pos="4252"/>
        <w:tab w:val="right" w:pos="8504"/>
      </w:tabs>
    </w:pPr>
  </w:style>
  <w:style w:type="character" w:styleId="Orri-zenbakia">
    <w:name w:val="page number"/>
    <w:basedOn w:val="Paragrafoarenletra-tipolehenetsia"/>
    <w:rsid w:val="00D22700"/>
  </w:style>
  <w:style w:type="paragraph" w:styleId="Bunbuiloarentestua">
    <w:name w:val="Balloon Text"/>
    <w:basedOn w:val="Normala"/>
    <w:semiHidden/>
    <w:rsid w:val="0095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4956">
      <w:bodyDiv w:val="1"/>
      <w:marLeft w:val="0"/>
      <w:marRight w:val="0"/>
      <w:marTop w:val="0"/>
      <w:marBottom w:val="0"/>
      <w:divBdr>
        <w:top w:val="none" w:sz="0" w:space="0" w:color="auto"/>
        <w:left w:val="none" w:sz="0" w:space="0" w:color="auto"/>
        <w:bottom w:val="none" w:sz="0" w:space="0" w:color="auto"/>
        <w:right w:val="none" w:sz="0" w:space="0" w:color="auto"/>
      </w:divBdr>
    </w:div>
    <w:div w:id="606280291">
      <w:bodyDiv w:val="1"/>
      <w:marLeft w:val="0"/>
      <w:marRight w:val="0"/>
      <w:marTop w:val="0"/>
      <w:marBottom w:val="0"/>
      <w:divBdr>
        <w:top w:val="none" w:sz="0" w:space="0" w:color="auto"/>
        <w:left w:val="none" w:sz="0" w:space="0" w:color="auto"/>
        <w:bottom w:val="none" w:sz="0" w:space="0" w:color="auto"/>
        <w:right w:val="none" w:sz="0" w:space="0" w:color="auto"/>
      </w:divBdr>
    </w:div>
    <w:div w:id="1597205928">
      <w:bodyDiv w:val="1"/>
      <w:marLeft w:val="0"/>
      <w:marRight w:val="0"/>
      <w:marTop w:val="0"/>
      <w:marBottom w:val="0"/>
      <w:divBdr>
        <w:top w:val="none" w:sz="0" w:space="0" w:color="auto"/>
        <w:left w:val="none" w:sz="0" w:space="0" w:color="auto"/>
        <w:bottom w:val="none" w:sz="0" w:space="0" w:color="auto"/>
        <w:right w:val="none" w:sz="0" w:space="0" w:color="auto"/>
      </w:divBdr>
    </w:div>
    <w:div w:id="1621840637">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950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6297</Characters>
  <Application>Microsoft Office Word</Application>
  <DocSecurity>4</DocSecurity>
  <Lines>52</Lines>
  <Paragraphs>14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Requisitos para la obtención de la calificación de “Sociedad Laboral”.</vt:lpstr>
      <vt:lpstr>Requisitos para la obtención de la calificación de “Sociedad Laboral”.</vt:lpstr>
    </vt:vector>
  </TitlesOfParts>
  <Company>Gobierno de Navarra</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Requisitos para la obtención de la calificación de “Sociedad Laboral”.</dc:title>
  <dc:creator>feli Hernández</dc:creator>
  <cp:lastModifiedBy>X076502</cp:lastModifiedBy>
  <cp:revision>2</cp:revision>
  <cp:lastPrinted>2016-04-20T08:00:00Z</cp:lastPrinted>
  <dcterms:created xsi:type="dcterms:W3CDTF">2021-11-15T11:00:00Z</dcterms:created>
  <dcterms:modified xsi:type="dcterms:W3CDTF">2021-11-15T11:00:00Z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91600.0000000000</vt:lpwstr>
  </property>
  <property fmtid="{D5CDD505-2E9C-101B-9397-08002B2CF9AE}" pid="3" name="ContentType">
    <vt:lpwstr>Documentación de Calidad</vt:lpwstr>
  </property>
  <property fmtid="{D5CDD505-2E9C-101B-9397-08002B2CF9AE}" pid="4" name="Proceso antiguo0">
    <vt:lpwstr>37</vt:lpwstr>
  </property>
  <property fmtid="{D5CDD505-2E9C-101B-9397-08002B2CF9AE}" pid="5" name="Tipo documento calidad">
    <vt:lpwstr>5</vt:lpwstr>
  </property>
  <property fmtid="{D5CDD505-2E9C-101B-9397-08002B2CF9AE}" pid="6" name="Documentos asociados">
    <vt:lpwstr/>
  </property>
  <property fmtid="{D5CDD505-2E9C-101B-9397-08002B2CF9AE}" pid="7" name="Nombre_Impreso">
    <vt:lpwstr>Ac7.12.03</vt:lpwstr>
  </property>
  <property fmtid="{D5CDD505-2E9C-101B-9397-08002B2CF9AE}" pid="8" name="Descripción del documento">
    <vt:lpwstr/>
  </property>
  <property fmtid="{D5CDD505-2E9C-101B-9397-08002B2CF9AE}" pid="9" name="Procesos">
    <vt:lpwstr/>
  </property>
  <property fmtid="{D5CDD505-2E9C-101B-9397-08002B2CF9AE}" pid="10" name="Actualizar">
    <vt:lpwstr/>
  </property>
</Properties>
</file>