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D8" w:rsidRDefault="00B46873">
      <w:pPr>
        <w:spacing w:after="15"/>
        <w:ind w:left="135"/>
        <w:jc w:val="right"/>
      </w:pPr>
      <w:r>
        <w:rPr>
          <w:b/>
          <w:sz w:val="15"/>
          <w:rFonts w:ascii="Arial" w:hAnsi="Arial"/>
        </w:rPr>
        <w:t xml:space="preserve">      </w:t>
      </w:r>
      <w:r>
        <w:rPr>
          <w:b/>
          <w:sz w:val="15"/>
          <w:rFonts w:ascii="Arial" w:hAnsi="Arial"/>
        </w:rPr>
        <w:t xml:space="preserve">Etxebizitza Zerbitzua</w:t>
      </w:r>
    </w:p>
    <w:p w:rsidR="00EA3CD8" w:rsidRDefault="00B46873">
      <w:pPr>
        <w:spacing w:after="15"/>
        <w:ind w:left="145" w:right="338" w:hanging="10"/>
        <w:jc w:val="right"/>
      </w:pPr>
      <w:r>
        <w:rPr>
          <w:sz w:val="15"/>
          <w:rFonts w:ascii="Arial" w:hAnsi="Arial"/>
        </w:rPr>
        <w:t xml:space="preserve">      </w:t>
      </w:r>
      <w:r>
        <w:rPr>
          <w:sz w:val="15"/>
          <w:rFonts w:ascii="Arial" w:hAnsi="Arial"/>
        </w:rPr>
        <w:t xml:space="preserve">Alondegi kalea 1, 1</w:t>
      </w:r>
    </w:p>
    <w:p w:rsidR="00EA3CD8" w:rsidRDefault="00B46873">
      <w:pPr>
        <w:spacing w:after="15"/>
        <w:ind w:left="145" w:right="142" w:hanging="10"/>
        <w:jc w:val="right"/>
      </w:pPr>
      <w:r>
        <w:rPr>
          <w:sz w:val="15"/>
          <w:rFonts w:ascii="Arial" w:hAnsi="Arial"/>
        </w:rPr>
        <w:t xml:space="preserve">      </w:t>
      </w:r>
      <w:r>
        <w:rPr>
          <w:sz w:val="15"/>
          <w:rFonts w:ascii="Arial" w:hAnsi="Arial"/>
        </w:rPr>
        <w:t xml:space="preserve">31002 IRUÑA</w:t>
      </w:r>
    </w:p>
    <w:p w:rsidR="00EA3CD8" w:rsidRDefault="00B46873">
      <w:pPr>
        <w:spacing w:after="141"/>
        <w:ind w:left="145" w:right="270" w:hanging="10"/>
        <w:jc w:val="right"/>
      </w:pPr>
      <w: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800887</wp:posOffset>
            </wp:positionH>
            <wp:positionV relativeFrom="page">
              <wp:posOffset>220408</wp:posOffset>
            </wp:positionV>
            <wp:extent cx="1971929" cy="446596"/>
            <wp:effectExtent l="0" t="0" r="0" b="0"/>
            <wp:wrapSquare wrapText="bothSides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929" cy="44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  <w:rFonts w:ascii="Arial" w:hAnsi="Arial"/>
        </w:rPr>
        <w:t xml:space="preserve">      Tel.:</w:t>
      </w:r>
      <w:r>
        <w:rPr>
          <w:sz w:val="15"/>
          <w:rFonts w:ascii="Arial" w:hAnsi="Arial"/>
        </w:rPr>
        <w:t xml:space="preserve"> </w:t>
      </w:r>
      <w:r>
        <w:rPr>
          <w:sz w:val="15"/>
          <w:rFonts w:ascii="Arial" w:hAnsi="Arial"/>
        </w:rPr>
        <w:t xml:space="preserve">848 427570</w:t>
      </w:r>
    </w:p>
    <w:tbl>
      <w:tblPr>
        <w:tblStyle w:val="TableGrid"/>
        <w:tblW w:w="10262" w:type="dxa"/>
        <w:tblInd w:w="-141" w:type="dxa"/>
        <w:tblCellMar>
          <w:left w:w="25" w:type="dxa"/>
          <w:right w:w="34" w:type="dxa"/>
        </w:tblCellMar>
        <w:tblLook w:val="04A0" w:firstRow="1" w:lastRow="0" w:firstColumn="1" w:lastColumn="0" w:noHBand="0" w:noVBand="1"/>
      </w:tblPr>
      <w:tblGrid>
        <w:gridCol w:w="1404"/>
        <w:gridCol w:w="4359"/>
        <w:gridCol w:w="2180"/>
        <w:gridCol w:w="1145"/>
        <w:gridCol w:w="1174"/>
      </w:tblGrid>
      <w:tr w:rsidR="00EA3CD8">
        <w:trPr>
          <w:trHeight w:val="509"/>
        </w:trPr>
        <w:tc>
          <w:tcPr>
            <w:tcW w:w="1026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3E3E3"/>
          </w:tcPr>
          <w:p w:rsidR="00EA3CD8" w:rsidRDefault="00B46873">
            <w:pPr>
              <w:tabs>
                <w:tab w:val="right" w:pos="10202"/>
              </w:tabs>
            </w:pPr>
            <w:r>
              <w:rPr>
                <w:b/>
                <w:sz w:val="26"/>
                <w:rFonts w:ascii="Arial" w:hAnsi="Arial"/>
              </w:rPr>
              <w:t xml:space="preserve">BIRGAITZE BABESTUA</w:t>
            </w:r>
            <w:r>
              <w:rPr>
                <w:b/>
                <w:sz w:val="26"/>
                <w:rFonts w:ascii="Arial" w:hAnsi="Arial"/>
              </w:rPr>
              <w:tab/>
            </w:r>
            <w:r>
              <w:rPr>
                <w:b/>
                <w:sz w:val="26"/>
                <w:rFonts w:ascii="Arial" w:hAnsi="Arial"/>
              </w:rPr>
              <w:t xml:space="preserve">2022. URTEA</w:t>
            </w:r>
          </w:p>
          <w:p w:rsidR="00EA3CD8" w:rsidRDefault="00B46873">
            <w:pPr>
              <w:ind w:left="5"/>
            </w:pPr>
            <w:r>
              <w:rPr>
                <w:b/>
                <w:sz w:val="17"/>
                <w:rFonts w:ascii="Arial" w:hAnsi="Arial"/>
              </w:rPr>
              <w:t xml:space="preserve">Maiatzaren 10eko 10/2010 FL eta irailaren 18ko 61/2013 FD (22/2016 FLk eta 28/2018 FLk aldatuak)</w:t>
            </w:r>
          </w:p>
        </w:tc>
      </w:tr>
      <w:tr w:rsidR="00EA3CD8">
        <w:trPr>
          <w:trHeight w:val="974"/>
        </w:trPr>
        <w:tc>
          <w:tcPr>
            <w:tcW w:w="1026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5" w:right="207"/>
            </w:pPr>
            <w:r>
              <w:rPr>
                <w:sz w:val="17"/>
                <w:rFonts w:ascii="Arial" w:hAnsi="Arial"/>
              </w:rPr>
              <w:t xml:space="preserve">   </w:t>
            </w:r>
            <w:r>
              <w:rPr>
                <w:sz w:val="17"/>
                <w:rFonts w:ascii="Arial" w:hAnsi="Arial"/>
              </w:rPr>
              <w:t xml:space="preserve">- Jarduketa babesgarriak dira etxebizitzak eta etxebizitzen eraikinak konpontzeko, hobetzeko eta araudira egokitzeko obrak, 61/2013ko FDko baldintzak betetzen badituzte, etxebizitzan erroldatutakoen </w:t>
            </w:r>
            <w:r>
              <w:rPr>
                <w:sz w:val="17"/>
                <w:b/>
                <w:rFonts w:ascii="Arial" w:hAnsi="Arial"/>
              </w:rPr>
              <w:t xml:space="preserve">ohiko bizitegi iraunkor</w:t>
            </w:r>
            <w:r>
              <w:rPr>
                <w:sz w:val="17"/>
                <w:rFonts w:ascii="Arial" w:hAnsi="Arial"/>
              </w:rPr>
              <w:t xml:space="preserve"> gisa erabiltzen badira, 3 hilabeteko epean okupatzen badira, sustatzaileek egunean badituzte zerga-betebeharrak, eta haien diru-sarrerek obren aurrekontu babesgarriaren hamarrena gainditzen badute.</w:t>
            </w:r>
          </w:p>
        </w:tc>
      </w:tr>
      <w:tr w:rsidR="00EA3CD8">
        <w:trPr>
          <w:trHeight w:val="3061"/>
        </w:trPr>
        <w:tc>
          <w:tcPr>
            <w:tcW w:w="1026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 w:rsidP="00BA6EF8">
            <w:r>
              <w:rPr>
                <w:b/>
                <w:sz w:val="17"/>
                <w:rFonts w:ascii="Arial" w:hAnsi="Arial"/>
              </w:rPr>
              <w:t xml:space="preserve">ERAIKINAK ETA EGINEN DIREN OBREK BETE BEHAR DITUZTEN ZENBAIT BALDINTZA:</w:t>
            </w:r>
          </w:p>
          <w:p w:rsidR="00EA3CD8" w:rsidRDefault="00B46873" w:rsidP="00856A3C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Eraikinak 20 urte baino gehiago izatea, desgaitasunak dituzten erabiltzaileentzat edo nahitaezko arau teknikoetara egokitzeko badira salbu.</w:t>
            </w:r>
          </w:p>
          <w:p w:rsidR="00EA3CD8" w:rsidRDefault="00B46873" w:rsidP="00856A3C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Eraikinaren azalera erabilgarriaren % 50 baino gehiago, beheko solairua eta sestrapekoa salbu, etxebizitza izatea.</w:t>
            </w:r>
          </w:p>
          <w:p w:rsidR="00EA3CD8" w:rsidRDefault="00B46873" w:rsidP="00856A3C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Eraikina ez da erabat hustuko, eta ez da forjatuen % 60 baino gehiago eraitsiko, gainjarriko edo ordeztuko, estalkia salbu.</w:t>
            </w:r>
          </w:p>
          <w:p w:rsidR="00EA3CD8" w:rsidRDefault="00B46873" w:rsidP="00856A3C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Ez dira etxebizitza berriak sortuko (edo daudenak handitu) 120 m² erabilgarri gaindituta.</w:t>
            </w:r>
          </w:p>
          <w:p w:rsidR="00EA3CD8" w:rsidRDefault="00B46873" w:rsidP="00856A3C">
            <w:pPr>
              <w:numPr>
                <w:ilvl w:val="0"/>
                <w:numId w:val="5"/>
              </w:numPr>
              <w:spacing w:after="16"/>
            </w:pPr>
            <w:r>
              <w:rPr>
                <w:sz w:val="17"/>
                <w:rFonts w:ascii="Arial" w:hAnsi="Arial"/>
              </w:rPr>
              <w:t xml:space="preserve">Ez egotea ez legezko ez hirigintzako eragozpenik, obra-lizentzia eskuratzeko eta obra gauzatzeko.</w:t>
            </w:r>
          </w:p>
          <w:p w:rsidR="00EA3CD8" w:rsidRDefault="00B46873" w:rsidP="00856A3C">
            <w:pPr>
              <w:numPr>
                <w:ilvl w:val="0"/>
                <w:numId w:val="5"/>
              </w:numPr>
              <w:spacing w:after="27"/>
            </w:pPr>
            <w:r>
              <w:rPr>
                <w:sz w:val="17"/>
                <w:rFonts w:ascii="Arial" w:hAnsi="Arial"/>
              </w:rPr>
              <w:t xml:space="preserve">Obraren aurrekontu </w:t>
            </w:r>
            <w:r>
              <w:rPr>
                <w:sz w:val="17"/>
                <w:b/>
                <w:rFonts w:ascii="Arial" w:hAnsi="Arial"/>
              </w:rPr>
              <w:t xml:space="preserve">babesgarria</w:t>
            </w:r>
            <w:r>
              <w:rPr>
                <w:sz w:val="17"/>
                <w:rFonts w:ascii="Arial" w:hAnsi="Arial"/>
              </w:rPr>
              <w:t xml:space="preserve"> 2.000 €/etxebizitza baino handiagoa izatea.</w:t>
            </w:r>
          </w:p>
          <w:p w:rsidR="00856A3C" w:rsidRPr="00856A3C" w:rsidRDefault="00B46873" w:rsidP="00856A3C">
            <w:pPr>
              <w:numPr>
                <w:ilvl w:val="0"/>
                <w:numId w:val="5"/>
              </w:numPr>
              <w:spacing w:line="297" w:lineRule="auto"/>
            </w:pPr>
            <w:r>
              <w:rPr>
                <w:sz w:val="17"/>
                <w:rFonts w:ascii="Arial" w:hAnsi="Arial"/>
              </w:rPr>
              <w:t xml:space="preserve">Aurrekontu </w:t>
            </w:r>
            <w:r>
              <w:rPr>
                <w:sz w:val="17"/>
                <w:b/>
                <w:rFonts w:ascii="Arial" w:hAnsi="Arial"/>
              </w:rPr>
              <w:t xml:space="preserve">babesgarria</w:t>
            </w:r>
            <w:r>
              <w:rPr>
                <w:sz w:val="17"/>
                <w:rFonts w:ascii="Arial" w:hAnsi="Arial"/>
              </w:rPr>
              <w:t xml:space="preserve"> ez izatea hau baino handiagoa m² erabilgarri bakoitzeko:</w:t>
            </w:r>
            <w:r>
              <w:rPr>
                <w:sz w:val="17"/>
                <w:rFonts w:ascii="Arial" w:hAnsi="Arial"/>
              </w:rPr>
              <w:tab/>
            </w:r>
            <w:r>
              <w:rPr>
                <w:sz w:val="17"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 xml:space="preserve">Etxebizitza:</w:t>
            </w:r>
            <w:r>
              <w:rPr>
                <w:sz w:val="17"/>
                <w:rFonts w:ascii="Arial" w:hAnsi="Arial"/>
              </w:rPr>
              <w:tab/>
            </w:r>
            <w:r>
              <w:rPr>
                <w:sz w:val="17"/>
                <w:b/>
                <w:rFonts w:ascii="Arial" w:hAnsi="Arial"/>
              </w:rPr>
              <w:t xml:space="preserve">1.723,42 €</w:t>
            </w:r>
            <w:r>
              <w:rPr>
                <w:sz w:val="17"/>
                <w:b/>
                <w:rFonts w:ascii="Arial" w:hAnsi="Arial"/>
              </w:rPr>
              <w:tab/>
            </w:r>
            <w:r>
              <w:rPr>
                <w:sz w:val="17"/>
                <w:rFonts w:ascii="Arial" w:hAnsi="Arial"/>
              </w:rPr>
              <w:t xml:space="preserve">Eratxikiak:</w:t>
            </w:r>
            <w:r>
              <w:rPr>
                <w:sz w:val="17"/>
                <w:rFonts w:ascii="Arial" w:hAnsi="Arial"/>
              </w:rPr>
              <w:tab/>
            </w:r>
            <w:r>
              <w:rPr>
                <w:sz w:val="17"/>
                <w:b/>
                <w:rFonts w:ascii="Arial" w:hAnsi="Arial"/>
              </w:rPr>
              <w:t xml:space="preserve">689,37 €</w:t>
            </w:r>
            <w:r>
              <w:rPr>
                <w:sz w:val="17"/>
                <w:b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 xml:space="preserve">  </w:t>
            </w:r>
          </w:p>
          <w:p w:rsidR="00EA3CD8" w:rsidRDefault="00B46873" w:rsidP="00856A3C">
            <w:pPr>
              <w:numPr>
                <w:ilvl w:val="0"/>
                <w:numId w:val="5"/>
              </w:numPr>
              <w:spacing w:line="297" w:lineRule="auto"/>
            </w:pPr>
            <w:r>
              <w:rPr>
                <w:sz w:val="17"/>
                <w:rFonts w:ascii="Arial" w:hAnsi="Arial"/>
              </w:rPr>
              <w:t xml:space="preserve">Aurrekontu </w:t>
            </w:r>
            <w:r>
              <w:rPr>
                <w:sz w:val="17"/>
                <w:b/>
                <w:rFonts w:ascii="Arial" w:hAnsi="Arial"/>
              </w:rPr>
              <w:t xml:space="preserve">diruz lagungarria</w:t>
            </w:r>
            <w:r>
              <w:rPr>
                <w:sz w:val="17"/>
                <w:rFonts w:ascii="Arial" w:hAnsi="Arial"/>
              </w:rPr>
              <w:t xml:space="preserve"> ez da hau baino handiagoa izanen m² erabilgarri bakoitzeko:</w:t>
            </w:r>
            <w:r>
              <w:rPr>
                <w:sz w:val="17"/>
                <w:rFonts w:ascii="Arial" w:hAnsi="Arial"/>
              </w:rPr>
              <w:tab/>
            </w:r>
            <w:r>
              <w:rPr>
                <w:sz w:val="17"/>
                <w:rFonts w:ascii="Arial" w:hAnsi="Arial"/>
              </w:rPr>
              <w:t xml:space="preserve">  </w:t>
            </w:r>
            <w:r>
              <w:rPr>
                <w:sz w:val="17"/>
                <w:rFonts w:ascii="Arial" w:hAnsi="Arial"/>
              </w:rPr>
              <w:t xml:space="preserve">Etxebizitza:</w:t>
            </w:r>
            <w:r>
              <w:rPr>
                <w:sz w:val="17"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ab/>
            </w:r>
            <w:r>
              <w:rPr>
                <w:sz w:val="17"/>
                <w:b/>
                <w:rFonts w:ascii="Arial" w:hAnsi="Arial"/>
              </w:rPr>
              <w:t xml:space="preserve">662,86 €</w:t>
            </w:r>
            <w:r>
              <w:rPr>
                <w:sz w:val="17"/>
                <w:b/>
                <w:rFonts w:ascii="Arial" w:hAnsi="Arial"/>
              </w:rPr>
              <w:tab/>
            </w:r>
            <w:r>
              <w:rPr>
                <w:sz w:val="17"/>
                <w:b/>
                <w:rFonts w:ascii="Arial" w:hAnsi="Arial"/>
              </w:rPr>
              <w:t xml:space="preserve">               </w:t>
            </w:r>
            <w:r>
              <w:rPr>
                <w:sz w:val="17"/>
                <w:rFonts w:ascii="Arial" w:hAnsi="Arial"/>
              </w:rPr>
              <w:t xml:space="preserve">Eratxikiak:</w:t>
            </w:r>
            <w:r>
              <w:rPr>
                <w:sz w:val="17"/>
                <w:rFonts w:ascii="Arial" w:hAnsi="Arial"/>
              </w:rPr>
              <w:tab/>
            </w:r>
            <w:r>
              <w:rPr>
                <w:sz w:val="17"/>
                <w:b/>
                <w:rFonts w:ascii="Arial" w:hAnsi="Arial"/>
              </w:rPr>
              <w:t xml:space="preserve">265,14 €</w:t>
            </w:r>
          </w:p>
          <w:p w:rsidR="00EA3CD8" w:rsidRDefault="00B46873" w:rsidP="00856A3C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Obrak behin-behineko kalifikazioaren aurretik hasita ez egotea, eta kalifikazio horretatik 36 hilabete iragan baino lehen amaitzea.</w:t>
            </w:r>
          </w:p>
          <w:p w:rsidR="00EA3CD8" w:rsidRDefault="00856A3C" w:rsidP="00856A3C">
            <w:pPr>
              <w:pStyle w:val="Prrafodelista"/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Aurrekontu babesgarria 10.000 eurotik gorakoa ez denean, obrak behin-behineko kalifikazioa eskatu ondoren hasi ahalko dira eta 9 hilabeteko epean amaitu.</w:t>
            </w:r>
          </w:p>
          <w:p w:rsidR="00EA3CD8" w:rsidRDefault="00B46873" w:rsidP="00856A3C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Eraikinak Ebaluatzeko Txostena (EET) edukitzea eraikinak, 50 urtetik gorakoa baldin bada.</w:t>
            </w:r>
          </w:p>
          <w:p w:rsidR="001C20C7" w:rsidRPr="001C20C7" w:rsidRDefault="00B46873" w:rsidP="00856A3C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Eraikinaren egitura sendotzen bada, oztopoak ezabatzen badira edo eraikinaren inguratzaile termikoa hobetzen bada, EET bat aurkeztuko da.</w:t>
            </w:r>
            <w:r>
              <w:rPr>
                <w:sz w:val="17"/>
                <w:rFonts w:ascii="Arial" w:hAnsi="Arial"/>
              </w:rPr>
              <w:t xml:space="preserve">  </w:t>
            </w:r>
          </w:p>
          <w:p w:rsidR="00EA3CD8" w:rsidRDefault="00B46873" w:rsidP="00856A3C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 xml:space="preserve">Ez dira aurrekontu babesgarriaren barnean sartuko egiturazko obren ondoriozkoak ez diren akabera pribatiboak, bizigarritasun baldintzak edukitzea ahalbidetzen dutenak edo oztopoak kentzea, betiere haien ordezteko balioaren arabera.</w:t>
            </w:r>
          </w:p>
        </w:tc>
      </w:tr>
      <w:tr w:rsidR="00EA3CD8">
        <w:trPr>
          <w:trHeight w:val="118"/>
        </w:trPr>
        <w:tc>
          <w:tcPr>
            <w:tcW w:w="10262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A3CD8" w:rsidRDefault="00EA3CD8"/>
        </w:tc>
      </w:tr>
      <w:tr w:rsidR="00EA3CD8">
        <w:trPr>
          <w:trHeight w:val="254"/>
        </w:trPr>
        <w:tc>
          <w:tcPr>
            <w:tcW w:w="10262" w:type="dxa"/>
            <w:gridSpan w:val="5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5"/>
            </w:pPr>
            <w:r>
              <w:rPr>
                <w:b/>
                <w:sz w:val="17"/>
                <w:rFonts w:ascii="Arial" w:hAnsi="Arial"/>
              </w:rPr>
              <w:t xml:space="preserve">DIRULAGUNTZAK:</w:t>
            </w:r>
            <w:r>
              <w:rPr>
                <w:sz w:val="15"/>
                <w:rFonts w:ascii="Arial" w:hAnsi="Arial"/>
              </w:rPr>
              <w:t xml:space="preserve"> </w:t>
            </w:r>
            <w:r>
              <w:rPr>
                <w:sz w:val="15"/>
                <w:rFonts w:ascii="Arial" w:hAnsi="Arial"/>
              </w:rPr>
              <w:t xml:space="preserve">(</w:t>
            </w:r>
            <w:r>
              <w:rPr>
                <w:b/>
                <w:sz w:val="17"/>
                <w:rFonts w:ascii="Arial" w:hAnsi="Arial"/>
              </w:rPr>
              <w:t xml:space="preserve">Diruz lagungarri den aurrekontuari buruzko koadroetan dago adierazita ehunekoa)</w:t>
            </w:r>
          </w:p>
        </w:tc>
      </w:tr>
      <w:tr w:rsidR="00EA3CD8">
        <w:trPr>
          <w:trHeight w:val="241"/>
        </w:trPr>
        <w:tc>
          <w:tcPr>
            <w:tcW w:w="9088" w:type="dxa"/>
            <w:gridSpan w:val="4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tabs>
                <w:tab w:val="right" w:pos="9028"/>
              </w:tabs>
              <w:spacing w:after="14"/>
            </w:pPr>
            <w:r>
              <w:rPr>
                <w:sz w:val="15"/>
                <w:b/>
                <w:rFonts w:ascii="Arial" w:hAnsi="Arial"/>
              </w:rPr>
              <w:t xml:space="preserve"> </w:t>
            </w:r>
            <w:r>
              <w:rPr>
                <w:sz w:val="15"/>
                <w:b/>
                <w:rFonts w:ascii="Arial" w:hAnsi="Arial"/>
              </w:rPr>
              <w:t xml:space="preserve">AUZOTARREN ERKIDEGOAK:</w:t>
            </w:r>
            <w:r>
              <w:rPr>
                <w:sz w:val="15"/>
                <w:b/>
                <w:rFonts w:ascii="Arial" w:hAnsi="Arial"/>
              </w:rPr>
              <w:t xml:space="preserve"> </w:t>
            </w:r>
            <w:r>
              <w:rPr>
                <w:sz w:val="15"/>
                <w:b/>
                <w:rFonts w:ascii="Arial" w:hAnsi="Arial"/>
              </w:rPr>
              <w:t xml:space="preserve">Oztopoak kentzea</w:t>
            </w:r>
            <w:r>
              <w:rPr>
                <w:sz w:val="15"/>
                <w:rFonts w:ascii="Arial" w:hAnsi="Arial"/>
              </w:rPr>
              <w:t xml:space="preserve">, erkidegoak sustatuta:</w:t>
            </w:r>
            <w:r>
              <w:rPr>
                <w:sz w:val="15"/>
                <w:rFonts w:ascii="Arial" w:hAnsi="Arial"/>
              </w:rPr>
              <w:tab/>
            </w:r>
            <w:r>
              <w:rPr>
                <w:sz w:val="17"/>
                <w:rFonts w:ascii="Arial" w:hAnsi="Arial"/>
              </w:rPr>
              <w:t xml:space="preserve">Eraikinaren urteak=&gt;</w:t>
            </w:r>
            <w:r>
              <w:rPr>
                <w:sz w:val="17"/>
                <w:rFonts w:ascii="Arial" w:hAnsi="Arial"/>
              </w:rPr>
              <w:t xml:space="preserve">  </w:t>
            </w:r>
          </w:p>
          <w:p w:rsidR="00EA3CD8" w:rsidRPr="00BA6EF8" w:rsidRDefault="00B46873" w:rsidP="00BA6EF8">
            <w:pPr>
              <w:numPr>
                <w:ilvl w:val="0"/>
                <w:numId w:val="5"/>
              </w:numPr>
              <w:rPr>
                <w:sz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Oztopoak erabat kentzea, igogailurik gabeko eraikinak:</w:t>
            </w:r>
            <w:r>
              <w:rPr>
                <w:sz w:val="17"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 xml:space="preserve">(Gehienez, 10.000 €/etxebizitza; 13.000 €/etxebizitza, 11 etxebizitza baino gutxiago badaude)</w:t>
            </w:r>
          </w:p>
          <w:p w:rsidR="00EA3CD8" w:rsidRPr="00BA6EF8" w:rsidRDefault="00B46873" w:rsidP="00BA6EF8">
            <w:pPr>
              <w:numPr>
                <w:ilvl w:val="0"/>
                <w:numId w:val="5"/>
              </w:numPr>
              <w:rPr>
                <w:sz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Oztopoak erabat kentzea, igogailua duten eraikinak:</w:t>
            </w:r>
            <w:r>
              <w:rPr>
                <w:sz w:val="17"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 xml:space="preserve">(Gehienez, 6.000 €/etxebizitza)</w:t>
            </w:r>
          </w:p>
          <w:p w:rsidR="00EB28B9" w:rsidRPr="00BA6EF8" w:rsidRDefault="00B46873" w:rsidP="00BA6EF8">
            <w:pPr>
              <w:numPr>
                <w:ilvl w:val="0"/>
                <w:numId w:val="5"/>
              </w:numPr>
              <w:rPr>
                <w:sz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Igogailurik gabeko eraikinak, oztopoen araudira erabat egokitu gabe:</w:t>
            </w:r>
            <w:r>
              <w:rPr>
                <w:sz w:val="17"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 xml:space="preserve">(Gehienez, 7.000 €/etxebizitza)</w:t>
            </w:r>
            <w:r>
              <w:rPr>
                <w:sz w:val="17"/>
                <w:rFonts w:ascii="Arial" w:hAnsi="Arial"/>
              </w:rPr>
              <w:t xml:space="preserve">             </w:t>
            </w:r>
          </w:p>
          <w:p w:rsidR="00EA3CD8" w:rsidRPr="00BA6EF8" w:rsidRDefault="00B46873" w:rsidP="00BA6EF8">
            <w:pPr>
              <w:numPr>
                <w:ilvl w:val="0"/>
                <w:numId w:val="5"/>
              </w:numPr>
              <w:rPr>
                <w:sz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Igogailua duten eraikinak, oztopoen araudira erabat egokitu gabe:</w:t>
            </w:r>
            <w:r>
              <w:rPr>
                <w:sz w:val="17"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 xml:space="preserve">(Gehienez, 3.000 €/etxebizitza)</w:t>
            </w:r>
          </w:p>
          <w:p w:rsidR="00EA3CD8" w:rsidRPr="00BA6EF8" w:rsidRDefault="00B46873" w:rsidP="00BA6EF8">
            <w:pPr>
              <w:numPr>
                <w:ilvl w:val="0"/>
                <w:numId w:val="5"/>
              </w:numPr>
              <w:rPr>
                <w:sz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Esku-hartze orokorreko proiektuetan, dirulaguntza gehigarri bat jasoko dute:</w:t>
            </w:r>
          </w:p>
          <w:p w:rsidR="00EA3CD8" w:rsidRDefault="00B46873">
            <w:pPr>
              <w:spacing w:after="30"/>
              <w:ind w:left="2"/>
            </w:pPr>
            <w:r>
              <w:rPr>
                <w:sz w:val="15"/>
                <w:rFonts w:ascii="Arial" w:hAnsi="Arial"/>
              </w:rPr>
              <w:t xml:space="preserve"> </w:t>
            </w:r>
            <w:r>
              <w:rPr>
                <w:sz w:val="15"/>
                <w:b/>
                <w:rFonts w:ascii="Arial" w:hAnsi="Arial"/>
              </w:rPr>
              <w:t xml:space="preserve">AUZOTARREN ERKIDEGOAK:</w:t>
            </w:r>
            <w:r>
              <w:rPr>
                <w:sz w:val="15"/>
                <w:rFonts w:ascii="Arial" w:hAnsi="Arial"/>
              </w:rPr>
              <w:t xml:space="preserve"> </w:t>
            </w:r>
            <w:r>
              <w:rPr>
                <w:sz w:val="15"/>
                <w:b/>
                <w:rFonts w:ascii="Arial" w:hAnsi="Arial"/>
              </w:rPr>
              <w:t xml:space="preserve">Eraikinaren inguratzaile termikoa hobetzea</w:t>
            </w:r>
            <w:r>
              <w:rPr>
                <w:sz w:val="15"/>
                <w:rFonts w:ascii="Arial" w:hAnsi="Arial"/>
              </w:rPr>
              <w:t xml:space="preserve">, erkidegoak sustatuta (gehienez, 6.000 €/etxebizitza)</w:t>
            </w:r>
          </w:p>
          <w:p w:rsidR="00EA3CD8" w:rsidRPr="005B5CD7" w:rsidRDefault="00B46873" w:rsidP="005B5CD7">
            <w:pPr>
              <w:numPr>
                <w:ilvl w:val="0"/>
                <w:numId w:val="5"/>
              </w:numPr>
              <w:rPr>
                <w:sz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Inguratzaile termikoa hobetzea esku-hartze orokorreko proiektuetan (gehienez, 7.500 €/etxebizitza)</w:t>
            </w:r>
          </w:p>
          <w:p w:rsidR="00EA3CD8" w:rsidRPr="005B5CD7" w:rsidRDefault="00B46873" w:rsidP="005B5CD7">
            <w:pPr>
              <w:numPr>
                <w:ilvl w:val="0"/>
                <w:numId w:val="5"/>
              </w:numPr>
              <w:rPr>
                <w:sz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Instalazio termiko zentralizatuen efizientzia hobetzea, EA-OD-EKT-2ra egokituta (gehienez, 6.000 €/etxebizitza)</w:t>
            </w:r>
          </w:p>
          <w:p w:rsidR="00EA3CD8" w:rsidRDefault="00B46873" w:rsidP="005B5CD7">
            <w:pPr>
              <w:numPr>
                <w:ilvl w:val="0"/>
                <w:numId w:val="5"/>
              </w:numPr>
            </w:pPr>
            <w:r>
              <w:rPr>
                <w:sz w:val="17"/>
                <w:rFonts w:ascii="Arial" w:hAnsi="Arial"/>
              </w:rPr>
              <w:t xml:space="preserve">Etxebizitzen barrengo berokuntza-instalazioa eraztuntzea eta kontagailua instalatzea (gehienez, 3.000 €/etxebizitza)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0C0C0"/>
          </w:tcPr>
          <w:p w:rsidR="00EA3CD8" w:rsidRDefault="00B46873">
            <w:pPr>
              <w:ind w:left="127"/>
            </w:pPr>
            <w:r>
              <w:rPr>
                <w:b/>
                <w:sz w:val="18"/>
                <w:rFonts w:ascii="Arial" w:hAnsi="Arial"/>
              </w:rPr>
              <w:t xml:space="preserve">20 baino gehiago</w:t>
            </w:r>
          </w:p>
        </w:tc>
      </w:tr>
      <w:tr w:rsidR="00EA3CD8">
        <w:trPr>
          <w:trHeight w:val="201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60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40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40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20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 5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40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 50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40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20</w:t>
            </w:r>
          </w:p>
        </w:tc>
      </w:tr>
      <w:tr w:rsidR="00EA3CD8">
        <w:trPr>
          <w:trHeight w:val="202"/>
        </w:trPr>
        <w:tc>
          <w:tcPr>
            <w:tcW w:w="10262" w:type="dxa"/>
            <w:gridSpan w:val="5"/>
            <w:tcBorders>
              <w:top w:val="single" w:sz="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A3CD8" w:rsidRDefault="00B46873">
            <w:pPr>
              <w:ind w:left="2"/>
            </w:pPr>
            <w:r>
              <w:rPr>
                <w:sz w:val="15"/>
                <w:b/>
                <w:rFonts w:ascii="Arial" w:hAnsi="Arial"/>
              </w:rPr>
              <w:t xml:space="preserve"> </w:t>
            </w:r>
            <w:r>
              <w:rPr>
                <w:sz w:val="15"/>
                <w:b/>
                <w:rFonts w:ascii="Arial" w:hAnsi="Arial"/>
              </w:rPr>
              <w:t xml:space="preserve">OHIZ KANPOKO DIRULAGUNTZAK PERTSONA FISIKOEI:</w:t>
            </w:r>
            <w:r>
              <w:rPr>
                <w:sz w:val="15"/>
                <w:rFonts w:ascii="Arial" w:hAnsi="Arial"/>
              </w:rPr>
              <w:t xml:space="preserve"> </w:t>
            </w:r>
            <w:r>
              <w:rPr>
                <w:sz w:val="15"/>
                <w:rFonts w:ascii="Arial" w:hAnsi="Arial"/>
              </w:rPr>
              <w:t xml:space="preserve">(Gehienez, 13.000 € edo 26.000 € etxebizitza familiabakarretan edo lehentasunez zaharberritu beharreko eremuetan)(1)</w:t>
            </w:r>
          </w:p>
        </w:tc>
      </w:tr>
      <w:tr w:rsidR="00EA3CD8">
        <w:trPr>
          <w:trHeight w:val="202"/>
        </w:trPr>
        <w:tc>
          <w:tcPr>
            <w:tcW w:w="9088" w:type="dxa"/>
            <w:gridSpan w:val="4"/>
            <w:vMerge w:val="restart"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numPr>
                <w:ilvl w:val="0"/>
                <w:numId w:val="4"/>
              </w:numPr>
              <w:ind w:hanging="100"/>
            </w:pPr>
            <w:r>
              <w:rPr>
                <w:sz w:val="17"/>
                <w:rFonts w:ascii="Arial" w:hAnsi="Arial"/>
              </w:rPr>
              <w:t xml:space="preserve">Diru-sarrerak SARA halako 2,5 baino txikiagoak eta gutxienez </w:t>
            </w:r>
            <w:r>
              <w:rPr>
                <w:sz w:val="18"/>
                <w:rFonts w:ascii="Arial" w:hAnsi="Arial"/>
              </w:rPr>
              <w:t xml:space="preserve">% 40ko</w:t>
            </w:r>
            <w:r>
              <w:rPr>
                <w:b/>
                <w:sz w:val="17"/>
                <w:rFonts w:ascii="Arial" w:hAnsi="Arial"/>
              </w:rPr>
              <w:t xml:space="preserve"> </w:t>
            </w:r>
            <w:r>
              <w:rPr>
                <w:sz w:val="15"/>
                <w:rFonts w:ascii="Arial" w:hAnsi="Arial"/>
              </w:rPr>
              <w:t xml:space="preserve">desgaitasuna duen pertsonaren </w:t>
            </w:r>
            <w:r>
              <w:rPr>
                <w:sz w:val="15"/>
                <w:b/>
                <w:rFonts w:ascii="Arial" w:hAnsi="Arial"/>
              </w:rPr>
              <w:t xml:space="preserve">etxebizitza egokitzea</w:t>
            </w:r>
            <w:r>
              <w:rPr>
                <w:rFonts w:ascii="Arial" w:hAnsi="Arial"/>
              </w:rPr>
              <w:t xml:space="preserve">:</w:t>
            </w:r>
          </w:p>
          <w:p w:rsidR="00EA3CD8" w:rsidRDefault="00B46873">
            <w:pPr>
              <w:spacing w:after="31"/>
              <w:ind w:right="400"/>
              <w:jc w:val="center"/>
            </w:pPr>
            <w:r>
              <w:rPr>
                <w:sz w:val="15"/>
                <w:rFonts w:ascii="Arial" w:hAnsi="Arial"/>
              </w:rPr>
              <w:t xml:space="preserve">Sustatzaileak, diru-sarrerak SARA halako 2,5 eta 3,5 artekoak dituztenak</w:t>
            </w:r>
          </w:p>
          <w:p w:rsidR="00EA3CD8" w:rsidRDefault="00B46873">
            <w:pPr>
              <w:numPr>
                <w:ilvl w:val="0"/>
                <w:numId w:val="4"/>
              </w:numPr>
              <w:spacing w:after="2"/>
              <w:ind w:hanging="100"/>
            </w:pPr>
            <w:r>
              <w:rPr>
                <w:b/>
                <w:sz w:val="17"/>
                <w:rFonts w:ascii="Arial" w:hAnsi="Arial"/>
              </w:rPr>
              <w:t xml:space="preserve">65 urtez gorako edo 35 urtez azpiko sustatzaileak edo ezkontideak,</w:t>
            </w:r>
            <w:r>
              <w:rPr>
                <w:sz w:val="15"/>
                <w:rFonts w:ascii="Arial" w:hAnsi="Arial"/>
              </w:rPr>
              <w:t xml:space="preserve"> diru-sarrerak SARA halako 2,5 baino txikiagoak dituztenak:</w:t>
            </w:r>
          </w:p>
          <w:p w:rsidR="00EA3CD8" w:rsidRDefault="00B46873">
            <w:pPr>
              <w:spacing w:after="41"/>
              <w:ind w:right="400"/>
              <w:jc w:val="center"/>
            </w:pPr>
            <w:r>
              <w:rPr>
                <w:sz w:val="15"/>
                <w:rFonts w:ascii="Arial" w:hAnsi="Arial"/>
              </w:rPr>
              <w:t xml:space="preserve">Sustatzaileak, diru-sarrerak SARA halako 2,5 eta 3,5 artekoak dituztenak</w:t>
            </w:r>
          </w:p>
          <w:p w:rsidR="00EA3CD8" w:rsidRDefault="00B46873">
            <w:pPr>
              <w:numPr>
                <w:ilvl w:val="0"/>
                <w:numId w:val="4"/>
              </w:numPr>
              <w:spacing w:after="3"/>
              <w:ind w:hanging="100"/>
            </w:pPr>
            <w:r>
              <w:rPr>
                <w:b/>
                <w:sz w:val="17"/>
                <w:rFonts w:ascii="Arial" w:hAnsi="Arial"/>
              </w:rPr>
              <w:t xml:space="preserve">Lehentasunez zaharberritu beharreko eremuak:</w:t>
            </w:r>
            <w:r>
              <w:rPr>
                <w:b/>
                <w:sz w:val="15"/>
                <w:rFonts w:ascii="Arial" w:hAnsi="Arial"/>
              </w:rPr>
              <w:t xml:space="preserve"> </w:t>
            </w:r>
            <w:r>
              <w:rPr>
                <w:sz w:val="15"/>
                <w:rFonts w:ascii="Arial" w:hAnsi="Arial"/>
              </w:rPr>
              <w:t xml:space="preserve">(Sustatzaile-erabiltzaileak, diru-sarrerak SARA halako 2,5 baino txikiagoak dituztenak)</w:t>
            </w:r>
          </w:p>
          <w:p w:rsidR="00EA3CD8" w:rsidRDefault="00B46873">
            <w:pPr>
              <w:spacing w:after="51"/>
              <w:ind w:left="205"/>
              <w:jc w:val="center"/>
            </w:pPr>
            <w:r>
              <w:rPr>
                <w:sz w:val="15"/>
                <w:rFonts w:ascii="Arial" w:hAnsi="Arial"/>
              </w:rPr>
              <w:t xml:space="preserve">Sustatzaile-erabiltzaileak, diru-sarrerak SARA halako 2,5 eta 3,5 artekoak dituztenak</w:t>
            </w:r>
          </w:p>
          <w:p w:rsidR="00EA3CD8" w:rsidRDefault="00B46873">
            <w:pPr>
              <w:numPr>
                <w:ilvl w:val="0"/>
                <w:numId w:val="4"/>
              </w:numPr>
              <w:spacing w:after="4"/>
              <w:ind w:hanging="100"/>
            </w:pPr>
            <w:r>
              <w:rPr>
                <w:b/>
                <w:sz w:val="17"/>
                <w:rFonts w:ascii="Arial" w:hAnsi="Arial"/>
              </w:rPr>
              <w:t xml:space="preserve">Familia ugariak.</w:t>
            </w:r>
            <w:r>
              <w:rPr>
                <w:b/>
                <w:sz w:val="17"/>
                <w:rFonts w:ascii="Arial" w:hAnsi="Arial"/>
              </w:rPr>
              <w:tab/>
            </w:r>
            <w:r>
              <w:rPr>
                <w:sz w:val="15"/>
                <w:rFonts w:ascii="Arial" w:hAnsi="Arial"/>
              </w:rPr>
              <w:t xml:space="preserve">Kategoria orokorrekoak badira, dirulaguntza gehigarri bat jasoko dute (3):</w:t>
            </w:r>
          </w:p>
          <w:p w:rsidR="00EA3CD8" w:rsidRDefault="006D76E1" w:rsidP="006D76E1">
            <w:pPr>
              <w:spacing w:after="41"/>
              <w:ind w:left="703"/>
            </w:pPr>
            <w:r>
              <w:rPr>
                <w:sz w:val="15"/>
                <w:rFonts w:ascii="Arial" w:hAnsi="Arial"/>
              </w:rPr>
              <w:t xml:space="preserve">                                  </w:t>
            </w:r>
            <w:r>
              <w:rPr>
                <w:sz w:val="15"/>
                <w:rFonts w:ascii="Arial" w:hAnsi="Arial"/>
              </w:rPr>
              <w:t xml:space="preserve">Kategoria berezikoak badira, dirulaguntza gehigarri bat jasoko dute (3):</w:t>
            </w:r>
          </w:p>
          <w:p w:rsidR="00EA3CD8" w:rsidRDefault="00B46873">
            <w:pPr>
              <w:numPr>
                <w:ilvl w:val="0"/>
                <w:numId w:val="4"/>
              </w:numPr>
              <w:ind w:hanging="100"/>
            </w:pPr>
            <w:r>
              <w:rPr>
                <w:sz w:val="17"/>
                <w:b/>
                <w:rFonts w:ascii="Arial" w:hAnsi="Arial"/>
              </w:rPr>
              <w:t xml:space="preserve">Biktimak</w:t>
            </w:r>
            <w:r>
              <w:rPr>
                <w:sz w:val="17"/>
                <w:rFonts w:ascii="Arial" w:hAnsi="Arial"/>
              </w:rPr>
              <w:t xml:space="preserve">, terrorismoarenak, genero-indarkeriarenak, edo gizarteratze errentaren hartzaileak, baldintzen arabera (3):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50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40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 45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30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45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30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 5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10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EA3CD8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 5</w:t>
            </w:r>
          </w:p>
        </w:tc>
      </w:tr>
      <w:tr w:rsidR="00EA3CD8">
        <w:trPr>
          <w:trHeight w:val="201"/>
        </w:trPr>
        <w:tc>
          <w:tcPr>
            <w:tcW w:w="10262" w:type="dxa"/>
            <w:gridSpan w:val="5"/>
            <w:tcBorders>
              <w:top w:val="single" w:sz="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A3CD8" w:rsidRDefault="00B46873">
            <w:pPr>
              <w:ind w:left="5"/>
            </w:pPr>
            <w:r>
              <w:rPr>
                <w:sz w:val="17"/>
                <w:b/>
                <w:rFonts w:ascii="Arial" w:hAnsi="Arial"/>
              </w:rPr>
              <w:t xml:space="preserve"> </w:t>
            </w:r>
            <w:r>
              <w:rPr>
                <w:sz w:val="17"/>
                <w:b/>
                <w:rFonts w:ascii="Arial" w:hAnsi="Arial"/>
              </w:rPr>
              <w:t xml:space="preserve">ERRENTAMENDURAKO SUSTATZAILEAK:</w:t>
            </w:r>
            <w:r>
              <w:rPr>
                <w:sz w:val="17"/>
                <w:rFonts w:ascii="Arial" w:hAnsi="Arial"/>
              </w:rPr>
              <w:t xml:space="preserve"> </w:t>
            </w:r>
            <w:r>
              <w:rPr>
                <w:sz w:val="17"/>
                <w:rFonts w:ascii="Arial" w:hAnsi="Arial"/>
              </w:rPr>
              <w:t xml:space="preserve">(Gehienez, 12.000 €/etxebizitza) Errentamendura bideratu beharko dira gutxienez 5 urtez, behin betiko kalifikazioaren datatik hasita.</w:t>
            </w:r>
          </w:p>
        </w:tc>
      </w:tr>
      <w:tr w:rsidR="00EA3CD8">
        <w:trPr>
          <w:trHeight w:val="202"/>
        </w:trPr>
        <w:tc>
          <w:tcPr>
            <w:tcW w:w="7943" w:type="dxa"/>
            <w:gridSpan w:val="3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EA3CD8" w:rsidRDefault="00B46873">
            <w:pPr>
              <w:tabs>
                <w:tab w:val="right" w:pos="7883"/>
              </w:tabs>
              <w:spacing w:after="1"/>
            </w:pPr>
            <w:r>
              <w:rPr>
                <w:sz w:val="17"/>
                <w:rFonts w:ascii="Arial" w:hAnsi="Arial"/>
              </w:rPr>
              <w:t xml:space="preserve">     </w:t>
            </w:r>
            <w:r>
              <w:rPr>
                <w:sz w:val="17"/>
                <w:rFonts w:ascii="Arial" w:hAnsi="Arial"/>
              </w:rPr>
              <w:tab/>
            </w:r>
            <w:r>
              <w:rPr>
                <w:sz w:val="17"/>
                <w:rFonts w:ascii="Arial" w:hAnsi="Arial"/>
              </w:rPr>
              <w:t xml:space="preserve">Eraikinaren urteak=&gt;</w:t>
            </w:r>
            <w:r>
              <w:rPr>
                <w:sz w:val="17"/>
                <w:rFonts w:ascii="Arial" w:hAnsi="Arial"/>
              </w:rPr>
              <w:t xml:space="preserve">  </w:t>
            </w:r>
          </w:p>
          <w:p w:rsidR="00EA3CD8" w:rsidRDefault="00B46873">
            <w:pPr>
              <w:spacing w:after="20"/>
              <w:ind w:left="2"/>
            </w:pPr>
            <w:r>
              <w:rPr>
                <w:sz w:val="15"/>
                <w:rFonts w:ascii="Arial" w:hAnsi="Arial"/>
              </w:rPr>
              <w:t xml:space="preserve">            </w:t>
            </w:r>
            <w:r>
              <w:rPr>
                <w:sz w:val="15"/>
                <w:rFonts w:ascii="Arial" w:hAnsi="Arial"/>
              </w:rPr>
              <w:t xml:space="preserve">- Lehentasunez zaharberritu beharreko eremuan, eta hileko errenta 5,88 edo 5,55 €/m² baino apalagoa (4)</w:t>
            </w:r>
          </w:p>
          <w:p w:rsidR="00EA3CD8" w:rsidRDefault="00B46873">
            <w:pPr>
              <w:spacing w:line="287" w:lineRule="auto"/>
              <w:ind w:left="2" w:right="1298" w:firstLine="2497"/>
            </w:pPr>
            <w:r>
              <w:rPr>
                <w:sz w:val="15"/>
                <w:rFonts w:ascii="Arial" w:hAnsi="Arial"/>
              </w:rPr>
              <w:t xml:space="preserve">Gehieneko dirulaguntza m² erabilgarriko (gehienez, 120 m²):</w:t>
            </w:r>
            <w:r>
              <w:rPr>
                <w:sz w:val="15"/>
                <w:rFonts w:ascii="Arial" w:hAnsi="Arial"/>
              </w:rPr>
              <w:t xml:space="preserve">             </w:t>
            </w:r>
            <w:r>
              <w:rPr>
                <w:sz w:val="15"/>
                <w:rFonts w:ascii="Arial" w:hAnsi="Arial"/>
              </w:rPr>
              <w:t xml:space="preserve">- Hileko errenta 5,88 edo 5,55 €/m² baino apalagoa duten eraikinetan (4)</w:t>
            </w:r>
          </w:p>
          <w:p w:rsidR="00EA3CD8" w:rsidRDefault="00B46873">
            <w:pPr>
              <w:ind w:left="2499"/>
            </w:pPr>
            <w:r>
              <w:rPr>
                <w:sz w:val="15"/>
                <w:rFonts w:ascii="Arial" w:hAnsi="Arial"/>
              </w:rPr>
              <w:t xml:space="preserve">Gehieneko dirulaguntza m² erabilgarriko (gehienez, 120 m²):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A3CD8" w:rsidRDefault="00B46873">
            <w:pPr>
              <w:ind w:left="113"/>
            </w:pPr>
            <w:r>
              <w:rPr>
                <w:b/>
                <w:sz w:val="18"/>
                <w:rFonts w:ascii="Arial" w:hAnsi="Arial"/>
              </w:rPr>
              <w:t xml:space="preserve">50 baino gehiago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0C0C0"/>
          </w:tcPr>
          <w:p w:rsidR="00EA3CD8" w:rsidRDefault="00B46873">
            <w:pPr>
              <w:ind w:left="127"/>
            </w:pPr>
            <w:r>
              <w:rPr>
                <w:b/>
                <w:sz w:val="18"/>
                <w:rFonts w:ascii="Arial" w:hAnsi="Arial"/>
              </w:rPr>
              <w:t xml:space="preserve">20 baino gehiago</w:t>
            </w:r>
          </w:p>
        </w:tc>
      </w:tr>
      <w:tr w:rsidR="00EA3CD8">
        <w:trPr>
          <w:trHeight w:val="201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32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40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11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4"/>
              <w:jc w:val="center"/>
            </w:pPr>
            <w:r>
              <w:rPr>
                <w:sz w:val="15"/>
                <w:rFonts w:ascii="Arial" w:hAnsi="Arial"/>
              </w:rPr>
              <w:t xml:space="preserve">344,68 €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3"/>
              <w:jc w:val="center"/>
            </w:pPr>
            <w:r>
              <w:rPr>
                <w:sz w:val="15"/>
                <w:rFonts w:ascii="Arial" w:hAnsi="Arial"/>
              </w:rPr>
              <w:t xml:space="preserve">92,80 €</w:t>
            </w:r>
          </w:p>
        </w:tc>
      </w:tr>
      <w:tr w:rsidR="00EA3CD8">
        <w:trPr>
          <w:trHeight w:val="202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EA3CD8" w:rsidRDefault="00EA3CD8"/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32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22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31"/>
              <w:jc w:val="center"/>
            </w:pPr>
            <w:r>
              <w:rPr>
                <w:b/>
                <w:sz w:val="17"/>
                <w:rFonts w:ascii="Arial" w:hAnsi="Arial"/>
              </w:rPr>
              <w:t xml:space="preserve">% 11</w:t>
            </w:r>
          </w:p>
        </w:tc>
      </w:tr>
      <w:tr w:rsidR="00EA3CD8">
        <w:trPr>
          <w:trHeight w:val="243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EA3CD8" w:rsidRDefault="00EA3CD8"/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:rsidR="00EA3CD8" w:rsidRDefault="00B46873">
            <w:pPr>
              <w:ind w:left="24"/>
              <w:jc w:val="center"/>
            </w:pPr>
            <w:r>
              <w:rPr>
                <w:sz w:val="15"/>
                <w:rFonts w:ascii="Arial" w:hAnsi="Arial"/>
              </w:rPr>
              <w:t xml:space="preserve">185,60 €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23"/>
              <w:jc w:val="center"/>
            </w:pPr>
            <w:r>
              <w:rPr>
                <w:sz w:val="15"/>
                <w:rFonts w:ascii="Arial" w:hAnsi="Arial"/>
              </w:rPr>
              <w:t xml:space="preserve">92,80 €</w:t>
            </w:r>
          </w:p>
        </w:tc>
      </w:tr>
      <w:tr w:rsidR="00EA3CD8">
        <w:trPr>
          <w:trHeight w:val="266"/>
        </w:trPr>
        <w:tc>
          <w:tcPr>
            <w:tcW w:w="1026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16"/>
              <w:jc w:val="center"/>
            </w:pPr>
            <w:r>
              <w:rPr>
                <w:sz w:val="18"/>
                <w:b/>
                <w:rFonts w:ascii="Arial" w:hAnsi="Arial"/>
              </w:rPr>
              <w:t xml:space="preserve">DIRU-SARRERA PONDERATUEN TAULA (€) </w:t>
            </w:r>
            <w:r>
              <w:rPr>
                <w:sz w:val="18"/>
                <w:rFonts w:ascii="Arial" w:hAnsi="Arial"/>
              </w:rPr>
              <w:t xml:space="preserve">Zerga oinarriaren zati orokorra, eta zerga ordaintzetik salbuetsita dauden errentak</w:t>
            </w:r>
          </w:p>
        </w:tc>
      </w:tr>
      <w:tr w:rsidR="00EA3CD8">
        <w:trPr>
          <w:trHeight w:val="228"/>
        </w:trPr>
        <w:tc>
          <w:tcPr>
            <w:tcW w:w="14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20"/>
              <w:jc w:val="center"/>
            </w:pPr>
            <w:r>
              <w:rPr>
                <w:sz w:val="15"/>
                <w:rFonts w:ascii="Arial" w:hAnsi="Arial"/>
              </w:rPr>
              <w:t xml:space="preserve">Familiako kideak (2)</w:t>
            </w:r>
          </w:p>
          <w:p w:rsidR="00EA3CD8" w:rsidRDefault="00B46873">
            <w:pPr>
              <w:ind w:left="21"/>
              <w:jc w:val="center"/>
            </w:pPr>
          </w:p>
        </w:tc>
        <w:tc>
          <w:tcPr>
            <w:tcW w:w="8858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19"/>
              <w:jc w:val="center"/>
            </w:pPr>
            <w:r>
              <w:rPr>
                <w:sz w:val="15"/>
                <w:rFonts w:ascii="Arial" w:hAnsi="Arial"/>
              </w:rPr>
              <w:t xml:space="preserve">                  </w:t>
            </w:r>
            <w:r>
              <w:rPr>
                <w:sz w:val="15"/>
                <w:rFonts w:ascii="Arial" w:hAnsi="Arial"/>
              </w:rPr>
              <w:t xml:space="preserve">2020. urteko PFEZ aitorpena (€) SARA baino zenbat aldiz handiagoa</w:t>
            </w:r>
          </w:p>
        </w:tc>
      </w:tr>
      <w:tr w:rsidR="00EA3CD8">
        <w:trPr>
          <w:trHeight w:val="1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EA3CD8"/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shd w:val="clear" w:color="auto" w:fill="C0C0C0"/>
          </w:tcPr>
          <w:p w:rsidR="00EA3CD8" w:rsidRDefault="00B46873">
            <w:pPr>
              <w:ind w:left="23"/>
              <w:jc w:val="center"/>
            </w:pPr>
            <w:r>
              <w:rPr>
                <w:b/>
                <w:sz w:val="15"/>
                <w:rFonts w:ascii="Arial" w:hAnsi="Arial"/>
              </w:rPr>
              <w:t xml:space="preserve">2,5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EA3CD8" w:rsidRDefault="00B46873">
            <w:pPr>
              <w:ind w:left="23"/>
              <w:jc w:val="center"/>
            </w:pPr>
            <w:r>
              <w:rPr>
                <w:b/>
                <w:sz w:val="15"/>
                <w:rFonts w:ascii="Arial" w:hAnsi="Arial"/>
              </w:rPr>
              <w:t xml:space="preserve">3,5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3"/>
              <w:jc w:val="center"/>
            </w:pPr>
            <w:r>
              <w:rPr>
                <w:sz w:val="15"/>
                <w:rFonts w:ascii="Arial" w:hAnsi="Arial"/>
              </w:rPr>
              <w:t xml:space="preserve">1 pertsona</w:t>
            </w:r>
          </w:p>
        </w:tc>
        <w:tc>
          <w:tcPr>
            <w:tcW w:w="435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23.398,78</w:t>
            </w:r>
          </w:p>
        </w:tc>
        <w:tc>
          <w:tcPr>
            <w:tcW w:w="4499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32.758,29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2"/>
              <w:jc w:val="center"/>
            </w:pPr>
            <w:r>
              <w:rPr>
                <w:sz w:val="15"/>
                <w:rFonts w:ascii="Arial" w:hAnsi="Arial"/>
              </w:rPr>
              <w:t xml:space="preserve">2 pertsona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31.198,37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43.677,72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2"/>
              <w:jc w:val="center"/>
            </w:pPr>
            <w:r>
              <w:rPr>
                <w:sz w:val="15"/>
                <w:rFonts w:ascii="Arial" w:hAnsi="Arial"/>
              </w:rPr>
              <w:t xml:space="preserve">3 pertsona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33.426,82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46.797,55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2"/>
              <w:jc w:val="center"/>
            </w:pPr>
            <w:r>
              <w:rPr>
                <w:sz w:val="15"/>
                <w:rFonts w:ascii="Arial" w:hAnsi="Arial"/>
              </w:rPr>
              <w:t xml:space="preserve">4 pertsona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35.452,69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49.633,77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2"/>
              <w:jc w:val="center"/>
            </w:pPr>
            <w:r>
              <w:rPr>
                <w:sz w:val="15"/>
                <w:rFonts w:ascii="Arial" w:hAnsi="Arial"/>
              </w:rPr>
              <w:t xml:space="preserve">5 pertsona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37.739,96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52.835,95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2"/>
              <w:jc w:val="center"/>
            </w:pPr>
            <w:r>
              <w:rPr>
                <w:sz w:val="15"/>
                <w:rFonts w:ascii="Arial" w:hAnsi="Arial"/>
              </w:rPr>
              <w:t xml:space="preserve">6 pertsona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40.342,72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56.479,81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2"/>
              <w:jc w:val="center"/>
            </w:pPr>
            <w:r>
              <w:rPr>
                <w:sz w:val="15"/>
                <w:rFonts w:ascii="Arial" w:hAnsi="Arial"/>
              </w:rPr>
              <w:t xml:space="preserve">7 pertsona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43.331,07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60.663,49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22"/>
              <w:jc w:val="center"/>
            </w:pPr>
            <w:r>
              <w:rPr>
                <w:sz w:val="15"/>
                <w:rFonts w:ascii="Arial" w:hAnsi="Arial"/>
              </w:rPr>
              <w:t xml:space="preserve">8 pertsona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46.797,55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65.516,57</w:t>
            </w:r>
          </w:p>
        </w:tc>
      </w:tr>
      <w:tr w:rsidR="00EA3CD8">
        <w:trPr>
          <w:trHeight w:val="228"/>
        </w:trPr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22"/>
              <w:jc w:val="center"/>
            </w:pPr>
            <w:r>
              <w:rPr>
                <w:sz w:val="15"/>
                <w:rFonts w:ascii="Arial" w:hAnsi="Arial"/>
              </w:rPr>
              <w:t xml:space="preserve"> </w:t>
            </w:r>
            <w:r>
              <w:rPr>
                <w:sz w:val="15"/>
                <w:rFonts w:ascii="Arial" w:hAnsi="Arial"/>
              </w:rPr>
              <w:t xml:space="preserve">Eraikinaren urteak:</w:t>
            </w:r>
          </w:p>
        </w:tc>
        <w:tc>
          <w:tcPr>
            <w:tcW w:w="885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115"/>
            </w:pPr>
            <w:r>
              <w:rPr>
                <w:sz w:val="18"/>
                <w:b/>
                <w:rFonts w:ascii="Arial" w:hAnsi="Arial"/>
              </w:rPr>
              <w:t xml:space="preserve">DIRU-SARREREN ARABERAKO DIRULAGUNTZA ARRUNTAK</w:t>
            </w:r>
            <w:r>
              <w:rPr>
                <w:sz w:val="18"/>
                <w:rFonts w:ascii="Arial" w:hAnsi="Arial"/>
              </w:rPr>
              <w:t xml:space="preserve"> (Sustatzaile-erabiltzaileen diru-sarreren zutabea)(1)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r>
              <w:rPr>
                <w:sz w:val="13"/>
                <w:rFonts w:ascii="Arial" w:hAnsi="Arial"/>
              </w:rPr>
              <w:t xml:space="preserve">50 urte baino gehiago</w:t>
            </w:r>
          </w:p>
        </w:tc>
        <w:tc>
          <w:tcPr>
            <w:tcW w:w="435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% 20</w:t>
            </w:r>
          </w:p>
        </w:tc>
        <w:tc>
          <w:tcPr>
            <w:tcW w:w="4499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% 10</w:t>
            </w:r>
          </w:p>
        </w:tc>
      </w:tr>
      <w:tr w:rsidR="00EA3CD8">
        <w:trPr>
          <w:trHeight w:val="214"/>
        </w:trPr>
        <w:tc>
          <w:tcPr>
            <w:tcW w:w="140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r>
              <w:rPr>
                <w:sz w:val="13"/>
                <w:rFonts w:ascii="Arial" w:hAnsi="Arial"/>
              </w:rPr>
              <w:t xml:space="preserve">20 eta 50 urte bitarte</w:t>
            </w:r>
          </w:p>
        </w:tc>
        <w:tc>
          <w:tcPr>
            <w:tcW w:w="435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% 10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ind w:left="26"/>
              <w:jc w:val="center"/>
            </w:pPr>
            <w:r>
              <w:rPr>
                <w:sz w:val="15"/>
                <w:rFonts w:ascii="Arial" w:hAnsi="Arial"/>
              </w:rPr>
              <w:t xml:space="preserve">% 5</w:t>
            </w:r>
          </w:p>
        </w:tc>
      </w:tr>
      <w:tr w:rsidR="00EA3CD8">
        <w:trPr>
          <w:trHeight w:val="679"/>
        </w:trPr>
        <w:tc>
          <w:tcPr>
            <w:tcW w:w="1026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CD8" w:rsidRDefault="00B46873">
            <w:pPr>
              <w:spacing w:after="46" w:line="255" w:lineRule="auto"/>
              <w:ind w:right="655"/>
            </w:pPr>
            <w:r>
              <w:rPr>
                <w:sz w:val="13"/>
                <w:rFonts w:ascii="Arial" w:hAnsi="Arial"/>
              </w:rPr>
              <w:t xml:space="preserve">OHARRA (1):</w:t>
            </w:r>
            <w:r>
              <w:rPr>
                <w:sz w:val="13"/>
                <w:rFonts w:ascii="Arial" w:hAnsi="Arial"/>
              </w:rPr>
              <w:t xml:space="preserve"> </w:t>
            </w:r>
            <w:r>
              <w:rPr>
                <w:sz w:val="13"/>
                <w:rFonts w:ascii="Arial" w:hAnsi="Arial"/>
              </w:rPr>
              <w:t xml:space="preserve">Familiako diru-sarrera ponderatuak ez badira iristen aurrekontu babesgarriaren hamarren batera, ez da egonen izaera pertsonaleko dirulaguntzak eskuratzeko eskubiderik. OHARRA (2):</w:t>
            </w:r>
            <w:r>
              <w:rPr>
                <w:sz w:val="13"/>
                <w:rFonts w:ascii="Arial" w:hAnsi="Arial"/>
              </w:rPr>
              <w:t xml:space="preserve"> </w:t>
            </w:r>
            <w:r>
              <w:rPr>
                <w:sz w:val="13"/>
                <w:rFonts w:ascii="Arial" w:hAnsi="Arial"/>
              </w:rPr>
              <w:t xml:space="preserve">Desgaitasuna duen pertsonaren bat badago familia unitatean, pertsona bat gehiago kontatuko da, eta berdin jokatuko da 65 urtez gorako pertsonaren bat badago.</w:t>
            </w:r>
            <w:r>
              <w:rPr>
                <w:sz w:val="13"/>
                <w:rFonts w:ascii="Arial" w:hAnsi="Arial"/>
              </w:rPr>
              <w:t xml:space="preserve"> </w:t>
            </w:r>
            <w:r>
              <w:rPr>
                <w:sz w:val="13"/>
                <w:rFonts w:ascii="Arial" w:hAnsi="Arial"/>
              </w:rPr>
              <w:t xml:space="preserve">OHARRA (3):</w:t>
            </w:r>
            <w:r>
              <w:rPr>
                <w:sz w:val="13"/>
                <w:rFonts w:ascii="Arial" w:hAnsi="Arial"/>
              </w:rPr>
              <w:t xml:space="preserve"> </w:t>
            </w:r>
            <w:r>
              <w:rPr>
                <w:sz w:val="13"/>
                <w:rFonts w:ascii="Arial" w:hAnsi="Arial"/>
              </w:rPr>
              <w:t xml:space="preserve">Ehuneko gehigarriak ez dira metatzen ahalko.</w:t>
            </w:r>
          </w:p>
          <w:p w:rsidR="00EA3CD8" w:rsidRDefault="00B46873">
            <w:r>
              <w:rPr>
                <w:sz w:val="13"/>
                <w:rFonts w:ascii="Arial" w:hAnsi="Arial"/>
              </w:rPr>
              <w:t xml:space="preserve">OHARRA (4):</w:t>
            </w:r>
            <w:r>
              <w:rPr>
                <w:sz w:val="13"/>
                <w:rFonts w:ascii="Arial" w:hAnsi="Arial"/>
              </w:rPr>
              <w:t xml:space="preserve"> </w:t>
            </w:r>
            <w:r>
              <w:rPr>
                <w:sz w:val="13"/>
                <w:rFonts w:ascii="Arial" w:hAnsi="Arial"/>
              </w:rPr>
              <w:t xml:space="preserve">Kontuan hartuta Iruña eta Iruñerria, Tutera, Lizarra eta Tafalla edo Nafarroako gainerako herriak diren, hurrenez hurren</w:t>
            </w:r>
          </w:p>
        </w:tc>
      </w:tr>
    </w:tbl>
    <w:p w:rsidR="00EA3CD8" w:rsidRDefault="001A427F" w:rsidP="001A427F">
      <w:pPr>
        <w:pStyle w:val="Prrafodelista"/>
        <w:spacing w:after="55" w:line="266" w:lineRule="auto"/>
        <w:ind w:left="0"/>
      </w:pPr>
      <w:r>
        <w:rPr>
          <w:sz w:val="14"/>
          <w:rFonts w:ascii="Arial" w:hAnsi="Arial"/>
        </w:rPr>
        <w:t xml:space="preserve">-Orri honen edukia argibide hutserako da, jarduketa babesgarrien erregulazioa        </w:t>
      </w:r>
      <w:r>
        <w:rPr>
          <w:sz w:val="14"/>
          <w:rFonts w:ascii="Arial" w:hAnsi="Arial"/>
        </w:rPr>
        <w:tab/>
      </w:r>
      <w:r>
        <w:rPr>
          <w:sz w:val="14"/>
          <w:rFonts w:ascii="Arial" w:hAnsi="Arial"/>
        </w:rPr>
        <w:t xml:space="preserve">                                   </w:t>
      </w:r>
      <w:r>
        <w:rPr>
          <w:sz w:val="13"/>
          <w:rFonts w:ascii="Arial" w:hAnsi="Arial"/>
        </w:rPr>
        <w:t xml:space="preserve">Inprimatze data:</w:t>
      </w:r>
      <w:r>
        <w:rPr>
          <w:sz w:val="13"/>
          <w:rFonts w:ascii="Arial" w:hAnsi="Arial"/>
        </w:rPr>
        <w:t xml:space="preserve"> </w:t>
      </w:r>
      <w:r>
        <w:rPr>
          <w:sz w:val="13"/>
          <w:rFonts w:ascii="Arial" w:hAnsi="Arial"/>
        </w:rPr>
        <w:t xml:space="preserve">22/02/01 </w:t>
      </w:r>
      <w:r>
        <w:rPr>
          <w:sz w:val="14"/>
          <w:rFonts w:ascii="Arial" w:hAnsi="Arial"/>
        </w:rPr>
        <w:t xml:space="preserve">    idazpuruan aipatutako lege-xedapenen bidez arautzen baita.</w:t>
      </w:r>
      <w:r>
        <w:rPr>
          <w:sz w:val="14"/>
          <w:rFonts w:ascii="Arial" w:hAnsi="Arial"/>
        </w:rPr>
        <w:tab/>
      </w:r>
      <w:r>
        <w:rPr>
          <w:sz w:val="14"/>
          <w:rFonts w:ascii="Arial" w:hAnsi="Arial"/>
        </w:rPr>
        <w:t xml:space="preserve">              </w:t>
      </w:r>
      <w:r>
        <w:rPr>
          <w:sz w:val="14"/>
          <w:rFonts w:ascii="Arial" w:hAnsi="Arial"/>
        </w:rPr>
        <w:t xml:space="preserve">                                               </w:t>
      </w:r>
      <w:r>
        <w:rPr>
          <w:sz w:val="13"/>
          <w:rFonts w:ascii="Arial" w:hAnsi="Arial"/>
        </w:rPr>
        <w:t xml:space="preserve">Datu horiek data honetatik aurrera aplika daitezke:</w:t>
      </w:r>
      <w:r>
        <w:rPr>
          <w:sz w:val="13"/>
          <w:rFonts w:ascii="Arial" w:hAnsi="Arial"/>
        </w:rPr>
        <w:t xml:space="preserve"> </w:t>
      </w:r>
      <w:r>
        <w:rPr>
          <w:sz w:val="13"/>
          <w:rFonts w:ascii="Arial" w:hAnsi="Arial"/>
        </w:rPr>
        <w:t xml:space="preserve">22/02/01</w:t>
      </w:r>
    </w:p>
    <w:p w:rsidR="00EA3CD8" w:rsidRDefault="001A427F" w:rsidP="001A427F">
      <w:pPr>
        <w:spacing w:after="0"/>
      </w:pPr>
      <w:r>
        <w:rPr>
          <w:sz w:val="14"/>
          <w:rFonts w:ascii="Arial" w:hAnsi="Arial"/>
        </w:rPr>
        <w:t xml:space="preserve">-Argibide gehiagorako: www.vivienda.navarra.es</w:t>
      </w:r>
    </w:p>
    <w:sectPr w:rsidR="00EA3CD8">
      <w:pgSz w:w="11904" w:h="16836"/>
      <w:pgMar w:top="1410" w:right="1280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065"/>
    <w:multiLevelType w:val="hybridMultilevel"/>
    <w:tmpl w:val="AF32B862"/>
    <w:lvl w:ilvl="0" w:tplc="85D25414">
      <w:start w:val="1"/>
      <w:numFmt w:val="bullet"/>
      <w:lvlText w:val="-"/>
      <w:lvlJc w:val="left"/>
      <w:pPr>
        <w:ind w:left="7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15AE5F19"/>
    <w:multiLevelType w:val="hybridMultilevel"/>
    <w:tmpl w:val="3C329D6A"/>
    <w:lvl w:ilvl="0" w:tplc="68E0D80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3500A4E">
      <w:start w:val="1"/>
      <w:numFmt w:val="bullet"/>
      <w:lvlText w:val="o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B36C004">
      <w:start w:val="1"/>
      <w:numFmt w:val="bullet"/>
      <w:lvlText w:val="▪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91C9532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FE2A934">
      <w:start w:val="1"/>
      <w:numFmt w:val="bullet"/>
      <w:lvlText w:val="o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C1453A2">
      <w:start w:val="1"/>
      <w:numFmt w:val="bullet"/>
      <w:lvlText w:val="▪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BB4243A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1384BDA">
      <w:start w:val="1"/>
      <w:numFmt w:val="bullet"/>
      <w:lvlText w:val="o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A10587A">
      <w:start w:val="1"/>
      <w:numFmt w:val="bullet"/>
      <w:lvlText w:val="▪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459E9"/>
    <w:multiLevelType w:val="hybridMultilevel"/>
    <w:tmpl w:val="17A0DA4E"/>
    <w:lvl w:ilvl="0" w:tplc="85D25414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108CAD4">
      <w:start w:val="1"/>
      <w:numFmt w:val="bullet"/>
      <w:lvlText w:val="o"/>
      <w:lvlJc w:val="left"/>
      <w:pPr>
        <w:ind w:left="1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CC2908A">
      <w:start w:val="1"/>
      <w:numFmt w:val="bullet"/>
      <w:lvlText w:val="▪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2D897F4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AEE606C">
      <w:start w:val="1"/>
      <w:numFmt w:val="bullet"/>
      <w:lvlText w:val="o"/>
      <w:lvlJc w:val="left"/>
      <w:pPr>
        <w:ind w:left="3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49877B0">
      <w:start w:val="1"/>
      <w:numFmt w:val="bullet"/>
      <w:lvlText w:val="▪"/>
      <w:lvlJc w:val="left"/>
      <w:pPr>
        <w:ind w:left="4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AA656C8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4AAACD4">
      <w:start w:val="1"/>
      <w:numFmt w:val="bullet"/>
      <w:lvlText w:val="o"/>
      <w:lvlJc w:val="left"/>
      <w:pPr>
        <w:ind w:left="5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60E890E">
      <w:start w:val="1"/>
      <w:numFmt w:val="bullet"/>
      <w:lvlText w:val="▪"/>
      <w:lvlJc w:val="left"/>
      <w:pPr>
        <w:ind w:left="6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A7650"/>
    <w:multiLevelType w:val="hybridMultilevel"/>
    <w:tmpl w:val="38D478E4"/>
    <w:lvl w:ilvl="0" w:tplc="29343992">
      <w:start w:val="1"/>
      <w:numFmt w:val="bullet"/>
      <w:lvlText w:val="-"/>
      <w:lvlJc w:val="left"/>
      <w:pPr>
        <w:ind w:left="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6DE6570">
      <w:start w:val="1"/>
      <w:numFmt w:val="bullet"/>
      <w:lvlText w:val="o"/>
      <w:lvlJc w:val="left"/>
      <w:pPr>
        <w:ind w:left="1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4DCA942">
      <w:start w:val="1"/>
      <w:numFmt w:val="bullet"/>
      <w:lvlText w:val="▪"/>
      <w:lvlJc w:val="left"/>
      <w:pPr>
        <w:ind w:left="1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8E0F06E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90A332">
      <w:start w:val="1"/>
      <w:numFmt w:val="bullet"/>
      <w:lvlText w:val="o"/>
      <w:lvlJc w:val="left"/>
      <w:pPr>
        <w:ind w:left="3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0A0534E">
      <w:start w:val="1"/>
      <w:numFmt w:val="bullet"/>
      <w:lvlText w:val="▪"/>
      <w:lvlJc w:val="left"/>
      <w:pPr>
        <w:ind w:left="4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CE6730A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9DE073C">
      <w:start w:val="1"/>
      <w:numFmt w:val="bullet"/>
      <w:lvlText w:val="o"/>
      <w:lvlJc w:val="left"/>
      <w:pPr>
        <w:ind w:left="5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09A7EEC">
      <w:start w:val="1"/>
      <w:numFmt w:val="bullet"/>
      <w:lvlText w:val="▪"/>
      <w:lvlJc w:val="left"/>
      <w:pPr>
        <w:ind w:left="6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129C7"/>
    <w:multiLevelType w:val="hybridMultilevel"/>
    <w:tmpl w:val="BF9E9124"/>
    <w:lvl w:ilvl="0" w:tplc="BF4E97FA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108CAD4">
      <w:start w:val="1"/>
      <w:numFmt w:val="bullet"/>
      <w:lvlText w:val="o"/>
      <w:lvlJc w:val="left"/>
      <w:pPr>
        <w:ind w:left="1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CC2908A">
      <w:start w:val="1"/>
      <w:numFmt w:val="bullet"/>
      <w:lvlText w:val="▪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2D897F4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AEE606C">
      <w:start w:val="1"/>
      <w:numFmt w:val="bullet"/>
      <w:lvlText w:val="o"/>
      <w:lvlJc w:val="left"/>
      <w:pPr>
        <w:ind w:left="3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49877B0">
      <w:start w:val="1"/>
      <w:numFmt w:val="bullet"/>
      <w:lvlText w:val="▪"/>
      <w:lvlJc w:val="left"/>
      <w:pPr>
        <w:ind w:left="4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AA656C8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4AAACD4">
      <w:start w:val="1"/>
      <w:numFmt w:val="bullet"/>
      <w:lvlText w:val="o"/>
      <w:lvlJc w:val="left"/>
      <w:pPr>
        <w:ind w:left="5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60E890E">
      <w:start w:val="1"/>
      <w:numFmt w:val="bullet"/>
      <w:lvlText w:val="▪"/>
      <w:lvlJc w:val="left"/>
      <w:pPr>
        <w:ind w:left="6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612D9"/>
    <w:multiLevelType w:val="hybridMultilevel"/>
    <w:tmpl w:val="9A9CF33A"/>
    <w:lvl w:ilvl="0" w:tplc="85D25414">
      <w:start w:val="1"/>
      <w:numFmt w:val="bullet"/>
      <w:lvlText w:val="-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42CBEDA">
      <w:start w:val="1"/>
      <w:numFmt w:val="bullet"/>
      <w:lvlText w:val="o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616F8EC">
      <w:start w:val="1"/>
      <w:numFmt w:val="bullet"/>
      <w:lvlText w:val="▪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B0B66A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0E68272">
      <w:start w:val="1"/>
      <w:numFmt w:val="bullet"/>
      <w:lvlText w:val="o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FC0C5B6">
      <w:start w:val="1"/>
      <w:numFmt w:val="bullet"/>
      <w:lvlText w:val="▪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1FA2398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A083BE6">
      <w:start w:val="1"/>
      <w:numFmt w:val="bullet"/>
      <w:lvlText w:val="o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282D05A">
      <w:start w:val="1"/>
      <w:numFmt w:val="bullet"/>
      <w:lvlText w:val="▪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D8"/>
    <w:rsid w:val="001A427F"/>
    <w:rsid w:val="001C20C7"/>
    <w:rsid w:val="005B5CD7"/>
    <w:rsid w:val="006D76E1"/>
    <w:rsid w:val="00856A3C"/>
    <w:rsid w:val="00B46873"/>
    <w:rsid w:val="00BA6EF8"/>
    <w:rsid w:val="00EA3CD8"/>
    <w:rsid w:val="00E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0718"/>
  <w15:docId w15:val="{1514043B-CFC9-4758-BA3D-6762571F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5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 de Navarra</dc:creator>
  <cp:keywords/>
  <cp:lastModifiedBy>X075407</cp:lastModifiedBy>
  <cp:revision>8</cp:revision>
  <dcterms:created xsi:type="dcterms:W3CDTF">2022-02-14T07:44:00Z</dcterms:created>
  <dcterms:modified xsi:type="dcterms:W3CDTF">2022-02-14T07:59:00Z</dcterms:modified>
</cp:coreProperties>
</file>