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2C" w:rsidRPr="008135AF" w:rsidRDefault="008E4F85" w:rsidP="008135AF">
      <w:pPr>
        <w:shd w:val="clear" w:color="auto" w:fill="FFFFFF"/>
        <w:jc w:val="center"/>
        <w:outlineLvl w:val="2"/>
        <w:rPr>
          <w:b/>
          <w:bCs/>
          <w:color w:val="333399"/>
          <w:sz w:val="22"/>
          <w:szCs w:val="22"/>
          <w:rFonts w:ascii="Arial" w:hAnsi="Arial" w:cs="Arial"/>
        </w:rPr>
      </w:pPr>
      <w:r>
        <w:rPr>
          <w:b/>
          <w:color w:val="333399"/>
          <w:sz w:val="22"/>
          <w:rFonts w:ascii="Arial" w:hAnsi="Arial"/>
        </w:rPr>
        <w:t xml:space="preserve">ERALDAKETARAKO NEKAZARITZA-SOZIETATEAK (ENS)</w:t>
      </w:r>
    </w:p>
    <w:p w:rsidR="008E4F85" w:rsidRPr="008135AF" w:rsidRDefault="008E4F85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bookmarkStart w:id="1" w:name="legislacionaplicable"/>
      <w:bookmarkStart w:id="2" w:name="concepto"/>
      <w:bookmarkEnd w:id="1"/>
      <w:bookmarkEnd w:id="2"/>
    </w:p>
    <w:p w:rsidR="008E4F85" w:rsidRDefault="008E4F85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rPr>
          <w:b/>
          <w:color w:val="333399"/>
          <w:sz w:val="22"/>
          <w:rFonts w:ascii="Arial" w:hAnsi="Arial"/>
        </w:rPr>
        <w:t xml:space="preserve">Kontzeptua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8135AF" w:rsidRDefault="008E4F85" w:rsidP="008135AF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Helburu ekonomiko-sozialeko sozietate zibilak dira, honako hauek egiteko eratuak: nekazaritzako, abeltzaintzako edo basogintzako produktuak ekoizteko, eraldatzeko eta merkaturatzeko; landa ingurunean hobekuntzak egiteko; nekazaritza sustatu eta garatzeko, eta helburu horri laguntzen dioten zerbitzu komunak emateko.</w:t>
      </w:r>
      <w:r>
        <w:rPr>
          <w:color w:val="000000"/>
          <w:sz w:val="22"/>
          <w:rFonts w:ascii="Arial" w:hAnsi="Arial"/>
        </w:rPr>
        <w:t xml:space="preserve"> </w:t>
      </w:r>
    </w:p>
    <w:p w:rsidR="00725F4C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bookmarkStart w:id="3" w:name="caracteristicas"/>
      <w:bookmarkEnd w:id="3"/>
    </w:p>
    <w:p w:rsidR="00725F4C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Default="008E4F85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rPr>
          <w:b/>
          <w:color w:val="333399"/>
          <w:sz w:val="22"/>
          <w:rFonts w:ascii="Arial" w:hAnsi="Arial"/>
        </w:rPr>
        <w:t xml:space="preserve">Ezaugarriak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8135AF" w:rsidRDefault="008E4F85" w:rsidP="008135AF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Sozietate zibilak dira, baina Sozietateen gaineko Zerga ordaindu behar dute.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Lehenik eta behin, abuztuaren 3ko 1776/1981 Errege Dekretuak eta hura garatzen duen 1982ko irailaren 14ko Aginduak arautzen dituzte, eta, subsidiarioki, sozietate zibilei aplikatu beharreko arauek.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Sozietate horren izena ez da izaten ahalko lehendik dagoen beste sozietate baten izen bera, eta izenean “Eraldaketarako nekazaritza-sozietatea” edo “ENS” laburdura agertu beharko da, sozietate horrek hirugarrenen aurrean zer erantzukizun mota duen adierazita.</w:t>
      </w:r>
    </w:p>
    <w:p w:rsidR="008E4F85" w:rsidRPr="008135AF" w:rsidRDefault="008E4F85" w:rsidP="008135AF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ENS bat eratzeko, 3 bazkide beharko dira gutxienez.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Ez dago gutxieneko kapital zifrarik.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Kapital soziala bazkideen ekarpenek osatuko dute; gordekin izendunez ordezkatuak egonen dira.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Sozietatearen kapitala erabat harpidetuta egon beharko da, eta eratzen den unerako gutxienez 100eko 25 ordaindu beharko da; gainerakoa, gehienez ere, 6 urteko epean ordaindu beharko da.</w:t>
      </w:r>
    </w:p>
    <w:p w:rsidR="008E4F85" w:rsidRPr="008135AF" w:rsidRDefault="008E4F85" w:rsidP="008135AF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Lehenik, sozietate ondareak erantzunen du sozietate zorren gainean eta, subsidiarioki, bazkideek modu mankomunatu eta mugagabean, estatutuetan mugarik itundu ez bada.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B31AB7" w:rsidP="008135AF">
      <w:pPr>
        <w:numPr>
          <w:ilvl w:val="0"/>
          <w:numId w:val="5"/>
        </w:numPr>
        <w:shd w:val="clear" w:color="auto" w:fill="FFFFFF"/>
        <w:ind w:left="714" w:hanging="357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Sozietatearen egoitza jarduera nagusia dagoen udalerrian finkatuko da.</w:t>
      </w:r>
    </w:p>
    <w:p w:rsidR="008E4F85" w:rsidRPr="008135AF" w:rsidRDefault="008E4F85" w:rsidP="008135AF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Eraldaketarako Nekazaritza Sozietatea Nafarroako Eraldaketarako Nekazaritza Sozietateen Erregistroan inskribatuko da.</w:t>
      </w:r>
    </w:p>
    <w:p w:rsidR="008E4F85" w:rsidRPr="008135AF" w:rsidRDefault="008E4F85" w:rsidP="008135AF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Sozietatea ENSen Erregistroan inskribatu ondotik, nortasun juridikoa izanen du.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bookmarkStart w:id="4" w:name="constitucionsociedad"/>
      <w:bookmarkEnd w:id="4"/>
    </w:p>
    <w:p w:rsidR="00725F4C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bookmarkStart w:id="5" w:name="fundacion"/>
      <w:bookmarkEnd w:id="5"/>
    </w:p>
    <w:p w:rsidR="008E4F85" w:rsidRDefault="006F530A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rPr>
          <w:b/>
          <w:color w:val="333399"/>
          <w:sz w:val="22"/>
          <w:rFonts w:ascii="Arial" w:hAnsi="Arial"/>
        </w:rPr>
        <w:t xml:space="preserve">Sozietatea sortzea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8135AF" w:rsidRDefault="008E4F85" w:rsidP="008135AF">
      <w:p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ENS bat eratzea sustatzeko, honako hauek elkartzen ahalko dira: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Nekazaritzako ustiategiaren titularrak edo nekazaritzako langileak.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Nekazaritzako helburuak dituzten pertsona juridikoak.</w:t>
      </w:r>
      <w:r>
        <w:rPr>
          <w:color w:val="000000"/>
          <w:sz w:val="22"/>
          <w:rFonts w:ascii="Arial" w:hAnsi="Arial"/>
        </w:rPr>
        <w:t xml:space="preserve"> </w:t>
      </w:r>
    </w:p>
    <w:p w:rsidR="00115753" w:rsidRPr="008135AF" w:rsidRDefault="00115753" w:rsidP="008135AF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Pertsona fisikoak diren bazkide kopurua handiagoa izan beharko da beti pertsona juridikoena baino.</w:t>
      </w:r>
    </w:p>
    <w:p w:rsidR="008E4F85" w:rsidRPr="008135AF" w:rsidRDefault="008E4F85" w:rsidP="008135AF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ENS bat eratzeko behar den gutxieneko bazkide kopurua 3 izanen da.</w:t>
      </w:r>
      <w:r>
        <w:rPr>
          <w:sz w:val="22"/>
          <w:rFonts w:ascii="Arial" w:hAnsi="Arial"/>
        </w:rPr>
        <w:t xml:space="preserve"> </w:t>
      </w:r>
    </w:p>
    <w:p w:rsidR="00725F4C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bookmarkStart w:id="6" w:name="aportaciones"/>
      <w:bookmarkEnd w:id="6"/>
    </w:p>
    <w:p w:rsidR="008E4F85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br w:type="page"/>
      </w:r>
      <w:r>
        <w:rPr>
          <w:b/>
          <w:color w:val="333399"/>
          <w:sz w:val="22"/>
          <w:rFonts w:ascii="Arial" w:hAnsi="Arial"/>
        </w:rPr>
        <w:t xml:space="preserve">Sozietaterako ekarpenak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3F7247" w:rsidRDefault="008E4F85" w:rsidP="008135AF">
      <w:pPr>
        <w:numPr>
          <w:ilvl w:val="0"/>
          <w:numId w:val="7"/>
        </w:numPr>
        <w:shd w:val="clear" w:color="auto" w:fill="FFFFFF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ENSaren kapital soziala bazkideek, hala eratzeko egintzan nola horren ondotiko erabakiak betez, sozietateari egindako ekarpenen balioak osatuko du.</w:t>
      </w:r>
      <w:r>
        <w:rPr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Bazkide batek kapital sozialari egindako ekarpenen zenbateko osoak ez du haren heren bat gainditzen ahalko.</w:t>
      </w:r>
      <w:r>
        <w:rPr>
          <w:color w:val="000000"/>
          <w:sz w:val="22"/>
          <w:rFonts w:ascii="Arial" w:hAnsi="Arial"/>
        </w:rPr>
        <w:t xml:space="preserve"> </w:t>
      </w:r>
      <w:r>
        <w:rPr>
          <w:color w:val="000000"/>
          <w:sz w:val="22"/>
          <w:rFonts w:ascii="Arial" w:hAnsi="Arial"/>
        </w:rPr>
        <w:t xml:space="preserve">Bazkideak pertsona juridikoak badira, horiek guztiek egindako ekarpenen guztizko zenbatekoa ez da inoiz kapital sozialaren 100eko 50era iritsiko.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Ekarpenak honelakoak izaten ahal dira: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1"/>
          <w:numId w:val="7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Diruzko ekarpenak.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1"/>
          <w:numId w:val="7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Diruzkoak ez diren ekarpenak: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2"/>
          <w:numId w:val="7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Balioespena eskudirutan finkatu beharko da.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115753" w:rsidP="008135AF">
      <w:pPr>
        <w:numPr>
          <w:ilvl w:val="2"/>
          <w:numId w:val="7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Ez dira balioesten ahalko baloreak egiaztatzeko espedienteetan zerga legeriak ezarritako irizpideak aplikatuta ateratzen den kopurua baino handiagoan.</w:t>
      </w:r>
    </w:p>
    <w:p w:rsidR="008E4F85" w:rsidRPr="008135AF" w:rsidRDefault="008E4F85" w:rsidP="008135AF">
      <w:pPr>
        <w:numPr>
          <w:ilvl w:val="2"/>
          <w:numId w:val="7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ENSari ondasun higigarri edo higiezinen gaineko gozamen eskubide erreala ematen ahalko zaio.</w:t>
      </w:r>
      <w:r>
        <w:rPr>
          <w:color w:val="000000"/>
          <w:sz w:val="22"/>
          <w:rFonts w:ascii="Arial" w:hAnsi="Arial"/>
        </w:rPr>
        <w:t xml:space="preserve"> </w:t>
      </w:r>
    </w:p>
    <w:p w:rsidR="00725F4C" w:rsidRDefault="00725F4C" w:rsidP="008135AF">
      <w:pPr>
        <w:shd w:val="clear" w:color="auto" w:fill="FFFFFF"/>
        <w:jc w:val="both"/>
        <w:outlineLvl w:val="3"/>
        <w:rPr>
          <w:b/>
          <w:bCs/>
          <w:color w:val="000000"/>
          <w:sz w:val="22"/>
          <w:szCs w:val="22"/>
          <w:rFonts w:ascii="Arial" w:hAnsi="Arial" w:cs="Arial"/>
        </w:rPr>
      </w:pPr>
      <w:bookmarkStart w:id="7" w:name="regimen"/>
      <w:bookmarkEnd w:id="7"/>
    </w:p>
    <w:p w:rsidR="00725F4C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E4F85" w:rsidRDefault="008E4F85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rPr>
          <w:b/>
          <w:color w:val="333399"/>
          <w:sz w:val="22"/>
          <w:rFonts w:ascii="Arial" w:hAnsi="Arial"/>
        </w:rPr>
        <w:t xml:space="preserve">Partaidetza sozialen araubidea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8135AF" w:rsidRDefault="008E4F85" w:rsidP="008135AF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Bazkideek ENSari egindako </w:t>
      </w:r>
      <w:r>
        <w:rPr>
          <w:sz w:val="22"/>
          <w:color w:val="000000"/>
          <w:rFonts w:ascii="Arial" w:hAnsi="Arial"/>
        </w:rPr>
        <w:t xml:space="preserve">ekarpenak gordekin izendunen bidez ordezkatuko dira eta kapital sozialaren zati alikuota gauzatuko dute.</w:t>
      </w:r>
      <w:r>
        <w:rPr>
          <w:sz w:val="22"/>
          <w:color w:val="000000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Estatutuetan mugatzen ahalko da gordekin horiek askatasunez eskualdatzea.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Gordekinak ez dira baloretitulutzat hartuko.</w:t>
      </w:r>
      <w:r>
        <w:rPr>
          <w:color w:val="000000"/>
          <w:sz w:val="22"/>
          <w:rFonts w:ascii="Arial" w:hAnsi="Arial"/>
        </w:rPr>
        <w:t xml:space="preserve"> </w:t>
      </w:r>
    </w:p>
    <w:p w:rsidR="00725F4C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bookmarkStart w:id="8" w:name="derechos"/>
      <w:bookmarkEnd w:id="8"/>
    </w:p>
    <w:p w:rsidR="00725F4C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Default="006F530A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rPr>
          <w:b/>
          <w:color w:val="333399"/>
          <w:sz w:val="22"/>
          <w:rFonts w:ascii="Arial" w:hAnsi="Arial"/>
        </w:rPr>
        <w:t xml:space="preserve">Bazkideen eskubide eta betebeharrak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8135AF" w:rsidRDefault="008E4F85" w:rsidP="008135AF">
      <w:pPr>
        <w:shd w:val="clear" w:color="auto" w:fill="FFFFFF"/>
        <w:jc w:val="both"/>
        <w:outlineLvl w:val="3"/>
        <w:rPr>
          <w:b/>
          <w:bCs/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Bazkideen eskubideak: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F65CBF" w:rsidP="008135AF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Batzar Nagusira joatea eta erabakiak hartzeko orduan hitzarekin eta botoarekin parte hartzea.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F65CBF" w:rsidP="008135AF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Sozietatearen erabakiak aurkaratzea, baldin eta legeen edo sozietatearen estatutuen aurkakoak badira, edo bazkideren baten mesedetan sozietatearen interesen kontrakoak badira.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Sozietatearen gobernu karguak hautatzea eta hautatuak izatea kargu horiek betetzeko.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F65CBF" w:rsidP="008135AF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Irabazi sozialen banaketan parte hartzea, norberaren partaidetza sozialaren arabera.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Sozietatearen bilakaerari buruzko informazioa.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Estatutuetan jasotako beste edozein.</w:t>
      </w:r>
      <w:r>
        <w:rPr>
          <w:color w:val="000000"/>
          <w:sz w:val="22"/>
          <w:rFonts w:ascii="Arial" w:hAnsi="Arial"/>
        </w:rPr>
        <w:t xml:space="preserve"> </w:t>
      </w:r>
    </w:p>
    <w:p w:rsidR="00725F4C" w:rsidRDefault="00725F4C" w:rsidP="008135A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E4F85" w:rsidRPr="008135AF" w:rsidRDefault="00F65CBF" w:rsidP="008135AF">
      <w:pPr>
        <w:shd w:val="clear" w:color="auto" w:fill="FFFFFF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Bazkideen betebeharrak:</w:t>
      </w:r>
    </w:p>
    <w:p w:rsidR="008E4F85" w:rsidRPr="008135AF" w:rsidRDefault="008E4F85" w:rsidP="008135AF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ENSaren jardueretan parte hartzea.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Kapital sozialean duten partaidetza kuota eta estatutuek ezartzen dizkieten gainerako betebehar pertsonal edo ekonomikoak betetzea.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Gobernu organoek baliozki hartutako erabakiei men egitea.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F65CBF" w:rsidP="008135AF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Bazkide izateak ekarritakoak edo estatutuek ezarritakoak.</w:t>
      </w:r>
      <w:r>
        <w:rPr>
          <w:color w:val="000000"/>
          <w:sz w:val="22"/>
          <w:rFonts w:ascii="Arial" w:hAnsi="Arial"/>
        </w:rPr>
        <w:t xml:space="preserve"> </w:t>
      </w:r>
    </w:p>
    <w:p w:rsidR="00725F4C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bookmarkStart w:id="9" w:name="baja"/>
      <w:bookmarkEnd w:id="9"/>
    </w:p>
    <w:p w:rsidR="00725F4C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br w:type="page"/>
      </w:r>
      <w:r>
        <w:rPr>
          <w:b/>
          <w:color w:val="333399"/>
          <w:sz w:val="22"/>
          <w:rFonts w:ascii="Arial" w:hAnsi="Arial"/>
        </w:rPr>
        <w:t xml:space="preserve">Bazkidearen onarpena eta baja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8135AF" w:rsidRDefault="00F65CBF" w:rsidP="008135A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Estatutuek bazkideak sartzeko baldintzak arautuko dituzte, bai eta bajaren arrazoiak eta ondorioak ere.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Hauek dira baja emateko arrazoiak: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1"/>
          <w:numId w:val="11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Partaidetza osoa inter-vivos egintzen bidez eskualdatzea.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1"/>
          <w:numId w:val="11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Bazkidearen heriotza edo legezko ezintasuna.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1"/>
          <w:numId w:val="11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Borondatezko banantzea.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1"/>
          <w:numId w:val="11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Nahitaezko baztertzea.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Bazkidearen bajak sozietate ondarean duen partaidetzaren behin betiko likidazioa ekarriko du, dagokion zenbatekoan.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Baja hartzen duen bazkideak, ENSaren aurrean, bajaren egunera arte hartutako betebeharrak betetzearen erantzule izaten jarraituko du.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Partaidetzak eskualdatzeak ez dio bazkide izaera emanen haiek eskuratzen dituenari.</w:t>
      </w:r>
      <w:r>
        <w:rPr>
          <w:color w:val="000000"/>
          <w:sz w:val="22"/>
          <w:rFonts w:ascii="Arial" w:hAnsi="Arial"/>
        </w:rPr>
        <w:t xml:space="preserve"> </w:t>
      </w:r>
    </w:p>
    <w:p w:rsidR="00725F4C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bookmarkStart w:id="10" w:name="organos"/>
      <w:bookmarkEnd w:id="10"/>
    </w:p>
    <w:p w:rsidR="00725F4C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Default="00645641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rPr>
          <w:b/>
          <w:color w:val="333399"/>
          <w:sz w:val="22"/>
          <w:rFonts w:ascii="Arial" w:hAnsi="Arial"/>
        </w:rPr>
        <w:t xml:space="preserve">Sozietatearen organoak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8135AF" w:rsidRDefault="00645641" w:rsidP="008135AF">
      <w:p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Eraldaketarako nekazaritza-sozietateen gobernu organoak honako hauek dira: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2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Batzar Nagusia, bazkideen borondatea adierazteko organo gorena, bazkide guztiek osatua.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2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Zuzendaritza Batzordea, ENSaren gobernu, ordezkaritza eta administrazio arrunterako organoa.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1"/>
          <w:numId w:val="12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Lehendakari batek, idazkari batek eta gutxienez 3 kidek osatuko dute, guztiak Batzar Nagusiak hautatuak; gehienez 12 kide izanen dira, eta bazkideak izan beharko dira.</w:t>
      </w:r>
    </w:p>
    <w:p w:rsidR="00645641" w:rsidRPr="008135AF" w:rsidRDefault="00645641" w:rsidP="008135AF">
      <w:pPr>
        <w:numPr>
          <w:ilvl w:val="0"/>
          <w:numId w:val="12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Lehendakaria kide bakarreko organoa da, eta estatutuek ematen dizkioten ahalmenak izanen ditu; eskumen horietan ENSa ordezkatzea egonen da ezinbestean.</w:t>
      </w:r>
    </w:p>
    <w:p w:rsidR="004A4706" w:rsidRPr="008135AF" w:rsidRDefault="00645641" w:rsidP="008135AF">
      <w:p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Eraldaketarako nekazaritza-sozietateetan, bazkideak 10 baino gutxiago badira, Batzar Nagusiak bere gain hartuko ditu Zuzendaritza Batzordeari dagozkion eginkizunak, eta organo bakarra osatuko dute biek.</w:t>
      </w:r>
    </w:p>
    <w:p w:rsidR="008E4F85" w:rsidRPr="008135AF" w:rsidRDefault="00645641" w:rsidP="008135AF">
      <w:p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ENSek kudeaketa, aholkularitza edo kontroleko beste organo batzuk ezartzen ahalko dituzte estatutuetan.</w:t>
      </w:r>
    </w:p>
    <w:p w:rsidR="00725F4C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bookmarkStart w:id="11" w:name="votos"/>
      <w:bookmarkEnd w:id="11"/>
    </w:p>
    <w:p w:rsidR="00725F4C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Default="008E4F85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rPr>
          <w:b/>
          <w:color w:val="333399"/>
          <w:sz w:val="22"/>
          <w:rFonts w:ascii="Arial" w:hAnsi="Arial"/>
        </w:rPr>
        <w:t xml:space="preserve">Erabakiak hartzeko behar diren botoak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8135AF" w:rsidRDefault="004A4706" w:rsidP="008135AF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sz w:val="22"/>
          <w:color w:val="000000"/>
          <w:rFonts w:ascii="Arial" w:hAnsi="Arial"/>
        </w:rPr>
        <w:t xml:space="preserve">Batzar Nagusiaren eta Zuzendaritza Batzordearen erabakiak bertaratutakoen gehiengo soilez hartuko dira, 1776/1981 Errege Dekretuan, estatutuetan edo Batzarraren berariazko erabakian besterik xedatu ezean.</w:t>
      </w:r>
      <w:r>
        <w:rPr>
          <w:sz w:val="22"/>
          <w:color w:val="000000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Zuzendaritza Batzordeak erabakiak hartzeko, bertaratutakoak gutxienez kideen erdiak izatea beharrezkoa izanen da.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Bazkide bakoitzak boto bat izanen du.</w:t>
      </w:r>
      <w:r>
        <w:rPr>
          <w:color w:val="000000"/>
          <w:sz w:val="22"/>
          <w:rFonts w:ascii="Arial" w:hAnsi="Arial"/>
        </w:rPr>
        <w:t xml:space="preserve"> </w:t>
      </w:r>
      <w:r>
        <w:rPr>
          <w:color w:val="000000"/>
          <w:sz w:val="22"/>
          <w:rFonts w:ascii="Arial" w:hAnsi="Arial"/>
        </w:rPr>
        <w:t xml:space="preserve">Hala ere, estatutuek ezartzen ahalko dute bazkideentzako betebehar ekonomikoak ezartzen dituzten erabakietan bazkideek kapital sozialean duten partaidetzaren araberako boto kopurua izatea.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Berdinketa izanez gero, lehendakariak kalitatezko botoa izanen du.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Bazkide guztiak Batzar Nagusiaren eta Zuzendaritza Batzordearen erabakien menpe gelditzen dira, jurisdikzio zibilean aurkaratzeko duten ahalmena alde batera utzi gabe.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sz w:val="22"/>
          <w:color w:val="000000"/>
          <w:rFonts w:ascii="Arial" w:hAnsi="Arial"/>
        </w:rPr>
        <w:t xml:space="preserve">Aktan erabakiaren aurka daudela jasota utzi duten bertaratutako bazkideek eta legez kontra botoa ematea galarazita izan dutenek baino ez dituzte erabakiak aurkaratzen ahalko.</w:t>
      </w:r>
    </w:p>
    <w:p w:rsidR="00725F4C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bookmarkStart w:id="12" w:name="cuentas"/>
      <w:bookmarkEnd w:id="12"/>
    </w:p>
    <w:p w:rsidR="008E4F85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br w:type="page"/>
      </w:r>
      <w:r>
        <w:rPr>
          <w:b/>
          <w:color w:val="333399"/>
          <w:sz w:val="22"/>
          <w:rFonts w:ascii="Arial" w:hAnsi="Arial"/>
        </w:rPr>
        <w:t xml:space="preserve">Urteko kontuak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8135AF" w:rsidRDefault="008E4F85" w:rsidP="008135AF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Honako agiri hauez osatuta daude:</w:t>
      </w:r>
      <w:r>
        <w:rPr>
          <w:color w:val="000000"/>
          <w:sz w:val="22"/>
          <w:rFonts w:ascii="Arial" w:hAnsi="Arial"/>
        </w:rPr>
        <w:t xml:space="preserve"> </w:t>
      </w:r>
    </w:p>
    <w:p w:rsidR="0034399C" w:rsidRPr="008135AF" w:rsidRDefault="008E4F85" w:rsidP="008135AF">
      <w:pPr>
        <w:numPr>
          <w:ilvl w:val="1"/>
          <w:numId w:val="14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Egoera balantzea.</w:t>
      </w:r>
    </w:p>
    <w:p w:rsidR="008E4F85" w:rsidRPr="008135AF" w:rsidRDefault="008E4F85" w:rsidP="008135AF">
      <w:pPr>
        <w:numPr>
          <w:ilvl w:val="1"/>
          <w:numId w:val="14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Galeren eta irabazien kontua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1"/>
          <w:numId w:val="14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Memoria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Eraldaketarako nekazaritza-sozietateak behartuta egonen dira agiri horiek Nafarroako ENSen Erregistrora helaraztera ekitaldia itxi eta hurrengo 3 hilabeteetan, bai eta une horretan zenbat bazkide diren jakinaraztera ere.</w:t>
      </w:r>
      <w:r>
        <w:rPr>
          <w:color w:val="000000"/>
          <w:sz w:val="22"/>
          <w:rFonts w:ascii="Arial" w:hAnsi="Arial"/>
        </w:rPr>
        <w:t xml:space="preserve"> </w:t>
      </w:r>
    </w:p>
    <w:p w:rsidR="00725F4C" w:rsidRDefault="00725F4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bookmarkStart w:id="13" w:name="libros"/>
      <w:bookmarkEnd w:id="13"/>
    </w:p>
    <w:p w:rsidR="00725F4C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Default="0034399C" w:rsidP="008135AF">
      <w:pPr>
        <w:shd w:val="clear" w:color="auto" w:fill="FFFFFF"/>
        <w:jc w:val="both"/>
        <w:outlineLvl w:val="3"/>
        <w:rPr>
          <w:b/>
          <w:bCs/>
          <w:color w:val="333399"/>
          <w:sz w:val="22"/>
          <w:szCs w:val="22"/>
          <w:rFonts w:ascii="Arial" w:hAnsi="Arial" w:cs="Arial"/>
        </w:rPr>
      </w:pPr>
      <w:r>
        <w:rPr>
          <w:b/>
          <w:color w:val="333399"/>
          <w:sz w:val="22"/>
          <w:rFonts w:ascii="Arial" w:hAnsi="Arial"/>
        </w:rPr>
        <w:t xml:space="preserve">Eraldaketarako nekazaritza-sozietateentzako nahitaezko liburuak</w:t>
      </w:r>
    </w:p>
    <w:p w:rsidR="00725F4C" w:rsidRPr="008135AF" w:rsidRDefault="00725F4C" w:rsidP="008135AF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99"/>
          <w:sz w:val="22"/>
          <w:szCs w:val="22"/>
        </w:rPr>
      </w:pPr>
    </w:p>
    <w:p w:rsidR="008E4F85" w:rsidRPr="008135AF" w:rsidRDefault="008E4F85" w:rsidP="008135AF">
      <w:p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ENSek honako liburu hauek izan beharko dituzte, eginbidetuta: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442BF" w:rsidP="008135AF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Bazkideen Erregistro Liburua.</w:t>
      </w:r>
      <w:r>
        <w:rPr>
          <w:color w:val="000000"/>
          <w:sz w:val="22"/>
          <w:rFonts w:ascii="Arial" w:hAnsi="Arial"/>
        </w:rPr>
        <w:t xml:space="preserve"> </w:t>
      </w:r>
    </w:p>
    <w:p w:rsidR="008E4F85" w:rsidRPr="008135AF" w:rsidRDefault="008E4F85" w:rsidP="008135AF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rFonts w:ascii="Arial" w:hAnsi="Arial"/>
        </w:rPr>
        <w:t xml:space="preserve">Batzar Nagusiaren eta Zuzendaritza Batzordearen akta liburuak, eta, hala badagokio, estatutuetan jasotako beste gobernu organo batzuenak.</w:t>
      </w:r>
    </w:p>
    <w:p w:rsidR="00B62799" w:rsidRPr="008135AF" w:rsidRDefault="008E4F85" w:rsidP="008135AF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Kontabilitate liburuak: inbentario eta balantzeena eta Egunkaria.</w:t>
      </w:r>
      <w:r>
        <w:rPr>
          <w:sz w:val="22"/>
          <w:rFonts w:ascii="Arial" w:hAnsi="Arial"/>
        </w:rPr>
        <w:t xml:space="preserve"> </w:t>
      </w:r>
    </w:p>
    <w:sectPr w:rsidR="00B62799" w:rsidRPr="008135AF" w:rsidSect="005A0D82">
      <w:headerReference w:type="default" r:id="rId7"/>
      <w:footerReference w:type="default" r:id="rId8"/>
      <w:pgSz w:w="11907" w:h="16840" w:code="9"/>
      <w:pgMar w:top="2835" w:right="1134" w:bottom="851" w:left="1701" w:header="851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EB" w:rsidRDefault="009721EB">
      <w:r>
        <w:separator/>
      </w:r>
    </w:p>
  </w:endnote>
  <w:endnote w:type="continuationSeparator" w:id="0">
    <w:p w:rsidR="009721EB" w:rsidRDefault="0097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5A0D82" w:rsidRPr="0063689D" w:rsidTr="001016BF">
      <w:trPr>
        <w:jc w:val="center"/>
      </w:trPr>
      <w:tc>
        <w:tcPr>
          <w:tcW w:w="10491" w:type="dxa"/>
        </w:tcPr>
        <w:p w:rsidR="005A0D82" w:rsidRPr="0063689D" w:rsidRDefault="00AD7DE2" w:rsidP="001016BF">
          <w:pPr>
            <w:jc w:val="center"/>
            <w:rPr>
              <w:sz w:val="14"/>
              <w:szCs w:val="14"/>
              <w:rFonts w:ascii="Arial" w:hAnsi="Arial" w:cs="Arial"/>
            </w:rPr>
          </w:pPr>
          <w:r>
            <w:rPr>
              <w:sz w:val="14"/>
              <w:rFonts w:ascii="Arial" w:hAnsi="Arial"/>
            </w:rPr>
            <w:t xml:space="preserve">Or.:</w:t>
          </w:r>
          <w:r>
            <w:rPr>
              <w:sz w:val="14"/>
              <w:rFonts w:ascii="Arial" w:hAnsi="Arial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6570E8">
            <w:rPr>
              <w:sz w:val="16"/>
            </w:rPr>
            <w:t>4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/</w:t>
          </w:r>
          <w:r>
            <w:rPr>
              <w:sz w:val="16"/>
            </w:rPr>
            <w:fldChar w:fldCharType="begin" w:dirty="true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6570E8">
            <w:rPr>
              <w:sz w:val="16"/>
            </w:rPr>
            <w:t>4</w:t>
          </w:r>
          <w:r>
            <w:rPr>
              <w:sz w:val="16"/>
            </w:rPr>
            <w:fldChar w:fldCharType="end"/>
          </w:r>
        </w:p>
      </w:tc>
    </w:tr>
  </w:tbl>
  <w:p w:rsidR="00E437F7" w:rsidRDefault="00E43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EB" w:rsidRDefault="009721EB">
      <w:r>
        <w:separator/>
      </w:r>
    </w:p>
  </w:footnote>
  <w:footnote w:type="continuationSeparator" w:id="0">
    <w:p w:rsidR="009721EB" w:rsidRDefault="00972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60A" w:rsidRDefault="00234BB6">
    <w:pPr>
      <w:pStyle w:val="Encabezado"/>
    </w:pPr>
    <w: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" name="Imagen 1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28E"/>
    <w:multiLevelType w:val="hybridMultilevel"/>
    <w:tmpl w:val="C0E6B54E"/>
    <w:lvl w:ilvl="0" w:tplc="00C4AE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61E8"/>
    <w:multiLevelType w:val="singleLevel"/>
    <w:tmpl w:val="56DC9350"/>
    <w:lvl w:ilvl="0">
      <w:start w:val="1"/>
      <w:numFmt w:val="lowerLetter"/>
      <w:lvlText w:val="%1)"/>
      <w:legacy w:legacy="1" w:legacySpace="0" w:legacyIndent="283"/>
      <w:lvlJc w:val="left"/>
      <w:pPr>
        <w:ind w:left="-284" w:hanging="283"/>
      </w:pPr>
    </w:lvl>
  </w:abstractNum>
  <w:abstractNum w:abstractNumId="2" w15:restartNumberingAfterBreak="0">
    <w:nsid w:val="0C8C7A91"/>
    <w:multiLevelType w:val="multilevel"/>
    <w:tmpl w:val="A3A6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33339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35C0D"/>
    <w:multiLevelType w:val="hybridMultilevel"/>
    <w:tmpl w:val="9790F390"/>
    <w:lvl w:ilvl="0" w:tplc="92F659AC">
      <w:start w:val="2"/>
      <w:numFmt w:val="lowerLetter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4" w15:restartNumberingAfterBreak="0">
    <w:nsid w:val="143F5D9D"/>
    <w:multiLevelType w:val="hybridMultilevel"/>
    <w:tmpl w:val="F31AB214"/>
    <w:lvl w:ilvl="0" w:tplc="E8E8CB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092E3E"/>
    <w:multiLevelType w:val="multilevel"/>
    <w:tmpl w:val="764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E0DAD"/>
    <w:multiLevelType w:val="multilevel"/>
    <w:tmpl w:val="8AA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A3DE0"/>
    <w:multiLevelType w:val="multilevel"/>
    <w:tmpl w:val="DB2A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72DE4"/>
    <w:multiLevelType w:val="multilevel"/>
    <w:tmpl w:val="7610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81AEE"/>
    <w:multiLevelType w:val="multilevel"/>
    <w:tmpl w:val="8FB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D0EA7"/>
    <w:multiLevelType w:val="multilevel"/>
    <w:tmpl w:val="B094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C1B9F"/>
    <w:multiLevelType w:val="hybridMultilevel"/>
    <w:tmpl w:val="FDF677BC"/>
    <w:lvl w:ilvl="0" w:tplc="67F20610">
      <w:start w:val="15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659A1EA7"/>
    <w:multiLevelType w:val="multilevel"/>
    <w:tmpl w:val="0DA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2594A"/>
    <w:multiLevelType w:val="multilevel"/>
    <w:tmpl w:val="8B36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A2916"/>
    <w:multiLevelType w:val="multilevel"/>
    <w:tmpl w:val="F58A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7B6FDE"/>
    <w:multiLevelType w:val="multilevel"/>
    <w:tmpl w:val="D6D4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B58B9"/>
    <w:multiLevelType w:val="multilevel"/>
    <w:tmpl w:val="1582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E1224A"/>
    <w:multiLevelType w:val="singleLevel"/>
    <w:tmpl w:val="56DC9350"/>
    <w:lvl w:ilvl="0">
      <w:start w:val="1"/>
      <w:numFmt w:val="lowerLetter"/>
      <w:lvlText w:val="%1)"/>
      <w:legacy w:legacy="1" w:legacySpace="0" w:legacyIndent="283"/>
      <w:lvlJc w:val="left"/>
      <w:pPr>
        <w:ind w:left="-284" w:hanging="283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5"/>
  </w:num>
  <w:num w:numId="5">
    <w:abstractNumId w:val="8"/>
  </w:num>
  <w:num w:numId="6">
    <w:abstractNumId w:val="5"/>
  </w:num>
  <w:num w:numId="7">
    <w:abstractNumId w:val="12"/>
  </w:num>
  <w:num w:numId="8">
    <w:abstractNumId w:val="16"/>
  </w:num>
  <w:num w:numId="9">
    <w:abstractNumId w:val="13"/>
  </w:num>
  <w:num w:numId="10">
    <w:abstractNumId w:val="6"/>
  </w:num>
  <w:num w:numId="11">
    <w:abstractNumId w:val="14"/>
  </w:num>
  <w:num w:numId="12">
    <w:abstractNumId w:val="9"/>
  </w:num>
  <w:num w:numId="13">
    <w:abstractNumId w:val="2"/>
  </w:num>
  <w:num w:numId="14">
    <w:abstractNumId w:val="7"/>
  </w:num>
  <w:num w:numId="15">
    <w:abstractNumId w:val="10"/>
  </w:num>
  <w:num w:numId="16">
    <w:abstractNumId w:val="17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FA"/>
    <w:rsid w:val="00024918"/>
    <w:rsid w:val="00066727"/>
    <w:rsid w:val="00096076"/>
    <w:rsid w:val="000B563A"/>
    <w:rsid w:val="001016BF"/>
    <w:rsid w:val="001063A0"/>
    <w:rsid w:val="00113AAC"/>
    <w:rsid w:val="00115753"/>
    <w:rsid w:val="0012434C"/>
    <w:rsid w:val="001733AC"/>
    <w:rsid w:val="00176902"/>
    <w:rsid w:val="00190981"/>
    <w:rsid w:val="00192E29"/>
    <w:rsid w:val="001B4F2C"/>
    <w:rsid w:val="001B7506"/>
    <w:rsid w:val="001E25B2"/>
    <w:rsid w:val="001F24D0"/>
    <w:rsid w:val="00234BB6"/>
    <w:rsid w:val="00236172"/>
    <w:rsid w:val="00240FC1"/>
    <w:rsid w:val="00270193"/>
    <w:rsid w:val="002C3CB5"/>
    <w:rsid w:val="003306A5"/>
    <w:rsid w:val="003361F8"/>
    <w:rsid w:val="003376CF"/>
    <w:rsid w:val="0034399C"/>
    <w:rsid w:val="0035133B"/>
    <w:rsid w:val="003B7A74"/>
    <w:rsid w:val="003C680D"/>
    <w:rsid w:val="003E417F"/>
    <w:rsid w:val="003F7247"/>
    <w:rsid w:val="004952A3"/>
    <w:rsid w:val="004A4706"/>
    <w:rsid w:val="004C27A1"/>
    <w:rsid w:val="004D4C66"/>
    <w:rsid w:val="004D6CDA"/>
    <w:rsid w:val="004E756C"/>
    <w:rsid w:val="005A0D82"/>
    <w:rsid w:val="00612AA9"/>
    <w:rsid w:val="00632209"/>
    <w:rsid w:val="006455E5"/>
    <w:rsid w:val="00645641"/>
    <w:rsid w:val="00647753"/>
    <w:rsid w:val="006570E8"/>
    <w:rsid w:val="00682A52"/>
    <w:rsid w:val="00696E3C"/>
    <w:rsid w:val="006F1AA1"/>
    <w:rsid w:val="006F530A"/>
    <w:rsid w:val="00725F4C"/>
    <w:rsid w:val="007315DF"/>
    <w:rsid w:val="00741C21"/>
    <w:rsid w:val="00742626"/>
    <w:rsid w:val="00751605"/>
    <w:rsid w:val="0076604A"/>
    <w:rsid w:val="0078460A"/>
    <w:rsid w:val="00784E99"/>
    <w:rsid w:val="008135AF"/>
    <w:rsid w:val="00823C92"/>
    <w:rsid w:val="00834E41"/>
    <w:rsid w:val="008442BF"/>
    <w:rsid w:val="008547A0"/>
    <w:rsid w:val="008908F4"/>
    <w:rsid w:val="008A2094"/>
    <w:rsid w:val="008A768A"/>
    <w:rsid w:val="008B4A20"/>
    <w:rsid w:val="008B4F3C"/>
    <w:rsid w:val="008E4F85"/>
    <w:rsid w:val="008F5BD5"/>
    <w:rsid w:val="00904284"/>
    <w:rsid w:val="00954A06"/>
    <w:rsid w:val="009721EB"/>
    <w:rsid w:val="00A42150"/>
    <w:rsid w:val="00A565CB"/>
    <w:rsid w:val="00A71225"/>
    <w:rsid w:val="00A875B2"/>
    <w:rsid w:val="00AB5427"/>
    <w:rsid w:val="00AC3314"/>
    <w:rsid w:val="00AD7DE2"/>
    <w:rsid w:val="00AE7391"/>
    <w:rsid w:val="00B31AB7"/>
    <w:rsid w:val="00B56D14"/>
    <w:rsid w:val="00B62799"/>
    <w:rsid w:val="00B66A8A"/>
    <w:rsid w:val="00BC125B"/>
    <w:rsid w:val="00BE26E1"/>
    <w:rsid w:val="00BE697B"/>
    <w:rsid w:val="00BF6CFA"/>
    <w:rsid w:val="00C012DD"/>
    <w:rsid w:val="00C427B2"/>
    <w:rsid w:val="00C75302"/>
    <w:rsid w:val="00CA42F2"/>
    <w:rsid w:val="00CF478D"/>
    <w:rsid w:val="00D879DF"/>
    <w:rsid w:val="00DA2239"/>
    <w:rsid w:val="00DC71B2"/>
    <w:rsid w:val="00DE24A0"/>
    <w:rsid w:val="00E437F7"/>
    <w:rsid w:val="00E6074E"/>
    <w:rsid w:val="00EC01AB"/>
    <w:rsid w:val="00EE3694"/>
    <w:rsid w:val="00EF0573"/>
    <w:rsid w:val="00F32319"/>
    <w:rsid w:val="00F35142"/>
    <w:rsid w:val="00F65CBF"/>
    <w:rsid w:val="00F731B2"/>
    <w:rsid w:val="00FC2605"/>
    <w:rsid w:val="00FC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6F49771C-C1FB-4CA2-98C8-2F16C6B2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439594">
    <w:name w:val="D439594"/>
    <w:semiHidden/>
    <w:rsid w:val="00BC125B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BC125B"/>
  </w:style>
  <w:style w:type="paragraph" w:styleId="Encabezado">
    <w:name w:val="header"/>
    <w:basedOn w:val="Normal"/>
    <w:rsid w:val="009042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428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75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Sociedades Agrarias de Transformación (SAT)</vt:lpstr>
    </vt:vector>
  </TitlesOfParts>
  <Company>Gobierno de Navarra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Sociedades Agrarias de Transformación (SAT)</dc:title>
  <dc:creator>D439594</dc:creator>
  <cp:lastModifiedBy>X075407</cp:lastModifiedBy>
  <cp:revision>2</cp:revision>
  <cp:lastPrinted>2016-04-20T08:00:00Z</cp:lastPrinted>
  <dcterms:created xsi:type="dcterms:W3CDTF">2022-03-29T11:48:00Z</dcterms:created>
  <dcterms:modified xsi:type="dcterms:W3CDTF">2022-03-29T11:48:00Z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5</vt:lpwstr>
  </property>
  <property fmtid="{D5CDD505-2E9C-101B-9397-08002B2CF9AE}" pid="3" name="Order">
    <vt:lpwstr>737000.000000000</vt:lpwstr>
  </property>
  <property fmtid="{D5CDD505-2E9C-101B-9397-08002B2CF9AE}" pid="4" name="ContentType">
    <vt:lpwstr>Documentación de Calidad</vt:lpwstr>
  </property>
  <property fmtid="{D5CDD505-2E9C-101B-9397-08002B2CF9AE}" pid="5" name="Documentos asociados">
    <vt:lpwstr/>
  </property>
  <property fmtid="{D5CDD505-2E9C-101B-9397-08002B2CF9AE}" pid="6" name="Proceso antiguo0">
    <vt:lpwstr>37</vt:lpwstr>
  </property>
  <property fmtid="{D5CDD505-2E9C-101B-9397-08002B2CF9AE}" pid="7" name="Descripción del documento">
    <vt:lpwstr/>
  </property>
  <property fmtid="{D5CDD505-2E9C-101B-9397-08002B2CF9AE}" pid="8" name="Procesos">
    <vt:lpwstr/>
  </property>
  <property fmtid="{D5CDD505-2E9C-101B-9397-08002B2CF9AE}" pid="9" name="Actualizar">
    <vt:lpwstr/>
  </property>
</Properties>
</file>