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0D407" w14:textId="06A9832F" w:rsidR="00540E9D" w:rsidRDefault="00540E9D" w:rsidP="00DC6019">
      <w:pPr>
        <w:tabs>
          <w:tab w:val="left" w:pos="709"/>
          <w:tab w:val="left" w:pos="2835"/>
          <w:tab w:val="left" w:pos="5812"/>
          <w:tab w:val="left" w:pos="7797"/>
        </w:tabs>
        <w:jc w:val="center"/>
        <w:rPr>
          <w:rFonts w:ascii="Century Gothic" w:hAnsi="Century Gothic" w:cs="Arial"/>
          <w:b/>
          <w:u w:val="single"/>
        </w:rPr>
      </w:pPr>
      <w:r>
        <w:rPr>
          <w:noProof/>
        </w:rPr>
        <w:drawing>
          <wp:anchor distT="0" distB="0" distL="114300" distR="114300" simplePos="0" relativeHeight="251659264" behindDoc="1" locked="0" layoutInCell="1" allowOverlap="1" wp14:anchorId="301A661C" wp14:editId="4A3AEC3C">
            <wp:simplePos x="0" y="0"/>
            <wp:positionH relativeFrom="page">
              <wp:posOffset>-61595</wp:posOffset>
            </wp:positionH>
            <wp:positionV relativeFrom="page">
              <wp:align>top</wp:align>
            </wp:positionV>
            <wp:extent cx="7534275" cy="20574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4275" cy="2057400"/>
                    </a:xfrm>
                    <a:prstGeom prst="rect">
                      <a:avLst/>
                    </a:prstGeom>
                  </pic:spPr>
                </pic:pic>
              </a:graphicData>
            </a:graphic>
            <wp14:sizeRelH relativeFrom="margin">
              <wp14:pctWidth>0</wp14:pctWidth>
            </wp14:sizeRelH>
            <wp14:sizeRelV relativeFrom="margin">
              <wp14:pctHeight>0</wp14:pctHeight>
            </wp14:sizeRelV>
          </wp:anchor>
        </w:drawing>
      </w:r>
    </w:p>
    <w:p w14:paraId="3723FEAD" w14:textId="77777777" w:rsidR="00540E9D" w:rsidRDefault="00540E9D" w:rsidP="00DC6019">
      <w:pPr>
        <w:tabs>
          <w:tab w:val="left" w:pos="709"/>
          <w:tab w:val="left" w:pos="2835"/>
          <w:tab w:val="left" w:pos="5812"/>
          <w:tab w:val="left" w:pos="7797"/>
        </w:tabs>
        <w:jc w:val="center"/>
        <w:rPr>
          <w:rFonts w:ascii="Century Gothic" w:hAnsi="Century Gothic" w:cs="Arial"/>
          <w:b/>
          <w:u w:val="single"/>
        </w:rPr>
      </w:pPr>
    </w:p>
    <w:p w14:paraId="170B08E6" w14:textId="77777777" w:rsidR="00540E9D" w:rsidRDefault="00540E9D" w:rsidP="00DC6019">
      <w:pPr>
        <w:tabs>
          <w:tab w:val="left" w:pos="709"/>
          <w:tab w:val="left" w:pos="2835"/>
          <w:tab w:val="left" w:pos="5812"/>
          <w:tab w:val="left" w:pos="7797"/>
        </w:tabs>
        <w:jc w:val="center"/>
        <w:rPr>
          <w:rFonts w:ascii="Century Gothic" w:hAnsi="Century Gothic" w:cs="Arial"/>
          <w:b/>
          <w:u w:val="single"/>
        </w:rPr>
      </w:pPr>
    </w:p>
    <w:p w14:paraId="33E9C020" w14:textId="77777777" w:rsidR="00540E9D" w:rsidRDefault="00540E9D" w:rsidP="00DC6019">
      <w:pPr>
        <w:tabs>
          <w:tab w:val="left" w:pos="709"/>
          <w:tab w:val="left" w:pos="2835"/>
          <w:tab w:val="left" w:pos="5812"/>
          <w:tab w:val="left" w:pos="7797"/>
        </w:tabs>
        <w:jc w:val="center"/>
        <w:rPr>
          <w:rFonts w:ascii="Century Gothic" w:hAnsi="Century Gothic" w:cs="Arial"/>
          <w:b/>
          <w:u w:val="single"/>
        </w:rPr>
      </w:pPr>
    </w:p>
    <w:p w14:paraId="7708FEE6" w14:textId="1D612C35" w:rsidR="00DC6019" w:rsidRPr="002765AD" w:rsidRDefault="00DC6019" w:rsidP="00DC6019">
      <w:pPr>
        <w:tabs>
          <w:tab w:val="left" w:pos="709"/>
          <w:tab w:val="left" w:pos="2835"/>
          <w:tab w:val="left" w:pos="5812"/>
          <w:tab w:val="left" w:pos="7797"/>
        </w:tabs>
        <w:jc w:val="center"/>
        <w:rPr>
          <w:rFonts w:ascii="Century Gothic" w:hAnsi="Century Gothic" w:cs="Arial"/>
          <w:b/>
          <w:u w:val="single"/>
        </w:rPr>
      </w:pPr>
      <w:r w:rsidRPr="002765AD">
        <w:rPr>
          <w:rFonts w:ascii="Century Gothic" w:hAnsi="Century Gothic" w:cs="Arial"/>
          <w:b/>
          <w:u w:val="single"/>
        </w:rPr>
        <w:t>DECLARACIÓN RESPONSABLE</w:t>
      </w:r>
    </w:p>
    <w:p w14:paraId="2F27A867" w14:textId="77777777" w:rsidR="00DC6019" w:rsidRPr="002765AD" w:rsidRDefault="00DC6019" w:rsidP="00DC6019">
      <w:pPr>
        <w:tabs>
          <w:tab w:val="left" w:pos="709"/>
          <w:tab w:val="left" w:pos="2835"/>
          <w:tab w:val="left" w:pos="5812"/>
          <w:tab w:val="left" w:pos="7797"/>
        </w:tabs>
        <w:jc w:val="center"/>
        <w:rPr>
          <w:rFonts w:ascii="Century Gothic" w:hAnsi="Century Gothic" w:cs="Arial"/>
          <w:b/>
        </w:rPr>
      </w:pPr>
      <w:r w:rsidRPr="002765AD">
        <w:rPr>
          <w:rFonts w:ascii="Century Gothic" w:hAnsi="Century Gothic" w:cs="Arial"/>
          <w:b/>
        </w:rPr>
        <w:t>SOBRE LOS REQUISITOS DEL ARTÍCULO 13 DE LA LEY FORAL 11/2005, DE SUBVENCIONES.</w:t>
      </w:r>
    </w:p>
    <w:p w14:paraId="1F74522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p>
    <w:p w14:paraId="4C80A11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 xml:space="preserve">D/Dª…………………………………………………………..….., con D.N.I.………………, CON DOMICILIO EN……………………………………………………………………………… </w:t>
      </w:r>
    </w:p>
    <w:p w14:paraId="7DB10A61"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EN REPRESENTACIÓN DE…………………………..………………………………..……..…….,</w:t>
      </w:r>
    </w:p>
    <w:p w14:paraId="63C64C02" w14:textId="5040FD92" w:rsidR="00DC6019" w:rsidRPr="004E1A43" w:rsidRDefault="00DC6019" w:rsidP="004E1A43">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ab/>
        <w:t xml:space="preserve">Formulo las siguientes declaraciones en relación con la solicitud de subvención </w:t>
      </w:r>
      <w:r w:rsidR="004E1A43" w:rsidRPr="004E1A43">
        <w:rPr>
          <w:rFonts w:ascii="Century Gothic" w:hAnsi="Century Gothic" w:cstheme="majorHAnsi"/>
          <w:lang w:val="es-ES_tradnl"/>
        </w:rPr>
        <w:t>para la realización de actividades de difusión de la realidad y la entidad de los abusos producidos en la iglesia católica en Navarra para el ejercicio 2025</w:t>
      </w:r>
    </w:p>
    <w:p w14:paraId="495EC9FC" w14:textId="77777777" w:rsidR="00DC6019" w:rsidRPr="002765AD" w:rsidRDefault="00DC6019" w:rsidP="00DC6019">
      <w:pPr>
        <w:rPr>
          <w:rFonts w:ascii="Century Gothic" w:hAnsi="Century Gothic" w:cs="Arial"/>
        </w:rPr>
      </w:pPr>
      <w:r w:rsidRPr="002765AD">
        <w:rPr>
          <w:rFonts w:ascii="Century Gothic" w:hAnsi="Century Gothic" w:cs="Arial"/>
        </w:rPr>
        <w:t>La Entidad que represento no está incursa en ninguna de las situaciones siguientes:</w:t>
      </w:r>
    </w:p>
    <w:p w14:paraId="5477998B" w14:textId="77777777" w:rsidR="00DC6019" w:rsidRPr="002765AD" w:rsidRDefault="00DC6019" w:rsidP="00DC6019">
      <w:pPr>
        <w:rPr>
          <w:rFonts w:ascii="Century Gothic" w:hAnsi="Century Gothic" w:cs="Arial"/>
        </w:rPr>
      </w:pPr>
    </w:p>
    <w:p w14:paraId="0B4A50E7"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condenada mediante sentencia firme a la pena de pérdida de la posibilidad de obtener subvenciones o ayudas públicas.</w:t>
      </w:r>
    </w:p>
    <w:p w14:paraId="3D0E5482"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 xml:space="preserve">Haber solicitado la declaración de concurso, haber sido declarados insolventes en </w:t>
      </w:r>
      <w:bookmarkStart w:id="0" w:name="_GoBack"/>
      <w:bookmarkEnd w:id="0"/>
      <w:r w:rsidRPr="002765AD">
        <w:rPr>
          <w:rFonts w:ascii="Century Gothic" w:hAnsi="Century Gothic" w:cs="Arial"/>
          <w:sz w:val="20"/>
          <w:szCs w:val="20"/>
        </w:rPr>
        <w:t>cualquier procedimiento, hallarse declarados en concurso, estar sujetos a intervención judicial o haber sido inhabilitados conforme a la Ley Concursal, sin que haya concluido el período de inhabilitación fijado en la sentencia de calificación del concurso.</w:t>
      </w:r>
    </w:p>
    <w:p w14:paraId="69CCC79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dado lugar, por causa de la que hubiesen sido declarados culpables, a la resolución firme de cualquier contrato celebrado con la Administración.</w:t>
      </w:r>
    </w:p>
    <w:p w14:paraId="701270F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Estar incursa la persona física, los administradores de las sociedades mercantiles o aquellos que ostenten la representación legal de otras personas jurídicas, en alguno de los supuestos de incompatibilidad que establezca la normativa vigente.</w:t>
      </w:r>
    </w:p>
    <w:p w14:paraId="0E8527B3"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No hallarse al corriente en el cumplimiento de las obligaciones tributarias, frente a la Seguridad Social o de pago de obligaciones por reintegro de deudas a favor de la Administración de la Comunidad Foral de Navarra o sus Organismos Autónomos.</w:t>
      </w:r>
    </w:p>
    <w:p w14:paraId="2550C1B1"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Tener la residencia fiscal en un país o territorio calificado reglamentariamente como paraíso fiscal.</w:t>
      </w:r>
    </w:p>
    <w:p w14:paraId="2623579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sancionado mediante resolución firme con la pérdida de la posibilidad de obtener subvenciones conforme a lo previsto en esta Ley Foral, o en la legislación general tributaria. No podrán acceder a la condición de beneficiarios las agrupaciones previstas en el apartado 3 del</w:t>
      </w:r>
      <w:hyperlink r:id="rId8" w:anchor="a8" w:history="1">
        <w:r w:rsidRPr="002765AD">
          <w:rPr>
            <w:rFonts w:ascii="Century Gothic" w:hAnsi="Century Gothic" w:cs="Arial"/>
            <w:sz w:val="20"/>
            <w:szCs w:val="20"/>
          </w:rPr>
          <w:t xml:space="preserve"> artículo 8 de la Ley Foral</w:t>
        </w:r>
      </w:hyperlink>
      <w:r w:rsidRPr="002765AD">
        <w:rPr>
          <w:rFonts w:ascii="Century Gothic" w:hAnsi="Century Gothic" w:cs="Arial"/>
          <w:sz w:val="20"/>
          <w:szCs w:val="20"/>
        </w:rPr>
        <w:t xml:space="preserve"> 11/2005, de 9 de noviembre, de Subvenciones cuando concurra alguna de las prohibiciones anteriores en cualquiera de sus miembros.</w:t>
      </w:r>
    </w:p>
    <w:p w14:paraId="34E4808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 xml:space="preserve">En el caso de ser asociación, estar incursa en las causas de prohibición previstas en los apartados 5 y 6 del </w:t>
      </w:r>
      <w:hyperlink r:id="rId9" w:anchor="a4" w:history="1">
        <w:r w:rsidRPr="002765AD">
          <w:rPr>
            <w:rFonts w:ascii="Century Gothic" w:hAnsi="Century Gothic" w:cs="Arial"/>
            <w:sz w:val="20"/>
            <w:szCs w:val="20"/>
          </w:rPr>
          <w:t>artículo 4 de la Ley Orgánica 1/2002, de 22 de marzo, reguladora del Derecho de Asociación</w:t>
        </w:r>
      </w:hyperlink>
      <w:r w:rsidRPr="002765AD">
        <w:rPr>
          <w:rFonts w:ascii="Century Gothic" w:hAnsi="Century Gothic" w:cs="Arial"/>
          <w:sz w:val="20"/>
          <w:szCs w:val="20"/>
        </w:rPr>
        <w:t xml:space="preserve"> ni tener suspendido el procedimiento administrativo de inscripción por encontrarse indicios racionales de ilicitud penal, en aplicación de lo dispuesto en el </w:t>
      </w:r>
      <w:hyperlink r:id="rId10" w:anchor="a30" w:history="1">
        <w:r w:rsidRPr="002765AD">
          <w:rPr>
            <w:rFonts w:ascii="Century Gothic" w:hAnsi="Century Gothic" w:cs="Arial"/>
            <w:sz w:val="20"/>
            <w:szCs w:val="20"/>
          </w:rPr>
          <w:t>artículo 30.4 de la mencionada Ley Orgánica</w:t>
        </w:r>
      </w:hyperlink>
      <w:r w:rsidRPr="002765AD">
        <w:rPr>
          <w:rFonts w:ascii="Century Gothic" w:hAnsi="Century Gothic" w:cs="Arial"/>
          <w:sz w:val="20"/>
          <w:szCs w:val="20"/>
        </w:rPr>
        <w:t>, en tanto no recaiga resolución judicial firme en cuya virtud pueda practicarse la inscripción en el correspondiente registro.</w:t>
      </w:r>
    </w:p>
    <w:p w14:paraId="3D2426EB" w14:textId="77777777" w:rsidR="00DC6019" w:rsidRPr="002765AD" w:rsidRDefault="00DC6019" w:rsidP="00DC6019">
      <w:pPr>
        <w:pStyle w:val="NormalWeb"/>
        <w:spacing w:before="0" w:beforeAutospacing="0" w:after="120" w:afterAutospacing="0"/>
        <w:ind w:left="1701"/>
        <w:jc w:val="both"/>
        <w:rPr>
          <w:rFonts w:ascii="Century Gothic" w:hAnsi="Century Gothic" w:cs="Arial"/>
          <w:sz w:val="20"/>
          <w:szCs w:val="20"/>
        </w:rPr>
      </w:pPr>
      <w:r w:rsidRPr="002765AD">
        <w:rPr>
          <w:rFonts w:ascii="Century Gothic" w:hAnsi="Century Gothic" w:cs="Arial"/>
          <w:sz w:val="20"/>
          <w:szCs w:val="20"/>
        </w:rPr>
        <w:lastRenderedPageBreak/>
        <w:t xml:space="preserve">En                                          , a                               </w:t>
      </w:r>
    </w:p>
    <w:p w14:paraId="2EF5D7B8"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Firmado:</w:t>
      </w:r>
    </w:p>
    <w:p w14:paraId="28617939"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Cargo</w:t>
      </w:r>
    </w:p>
    <w:p w14:paraId="3E744F35" w14:textId="77777777" w:rsidR="00DC6019" w:rsidRPr="002765AD" w:rsidRDefault="00DC6019" w:rsidP="00DC6019">
      <w:pPr>
        <w:ind w:left="1701"/>
        <w:jc w:val="both"/>
        <w:rPr>
          <w:rFonts w:ascii="Century Gothic" w:hAnsi="Century Gothic"/>
          <w:color w:val="000000"/>
        </w:rPr>
      </w:pPr>
    </w:p>
    <w:p w14:paraId="0F0F7362" w14:textId="77777777" w:rsidR="00DC6019" w:rsidRPr="002765AD" w:rsidRDefault="00DC6019" w:rsidP="00DC6019">
      <w:pPr>
        <w:ind w:left="1701"/>
        <w:jc w:val="both"/>
        <w:rPr>
          <w:rFonts w:ascii="Century Gothic" w:hAnsi="Century Gothic"/>
          <w:color w:val="000000"/>
        </w:rPr>
      </w:pPr>
    </w:p>
    <w:p w14:paraId="5ECA22E2" w14:textId="77777777" w:rsidR="00DC6019" w:rsidRPr="002765AD" w:rsidRDefault="00DC6019" w:rsidP="00DC6019">
      <w:pPr>
        <w:ind w:left="1701"/>
        <w:jc w:val="both"/>
        <w:rPr>
          <w:rFonts w:ascii="Century Gothic" w:hAnsi="Century Gothic"/>
          <w:color w:val="000000"/>
        </w:rPr>
      </w:pPr>
    </w:p>
    <w:p w14:paraId="0BA91F5B" w14:textId="77777777" w:rsidR="00DC6019" w:rsidRPr="002765AD" w:rsidRDefault="00DC6019" w:rsidP="00DC6019">
      <w:pPr>
        <w:ind w:left="1701"/>
        <w:jc w:val="both"/>
        <w:rPr>
          <w:rFonts w:ascii="Century Gothic" w:hAnsi="Century Gothic"/>
          <w:color w:val="000000"/>
        </w:rPr>
      </w:pPr>
    </w:p>
    <w:p w14:paraId="7224A512" w14:textId="77777777" w:rsidR="00DC6019" w:rsidRPr="002765AD" w:rsidRDefault="00DC6019" w:rsidP="00DC6019">
      <w:pPr>
        <w:ind w:left="1701"/>
        <w:jc w:val="both"/>
        <w:rPr>
          <w:rFonts w:ascii="Century Gothic" w:hAnsi="Century Gothic"/>
          <w:color w:val="000000"/>
        </w:rPr>
      </w:pPr>
    </w:p>
    <w:p w14:paraId="02DD9A87" w14:textId="77777777" w:rsidR="00DC6019" w:rsidRPr="002765AD" w:rsidRDefault="00DC6019" w:rsidP="00DC6019">
      <w:pPr>
        <w:ind w:left="1701"/>
        <w:jc w:val="both"/>
        <w:rPr>
          <w:rFonts w:ascii="Century Gothic" w:hAnsi="Century Gothic"/>
          <w:color w:val="000000"/>
        </w:rPr>
      </w:pPr>
    </w:p>
    <w:p w14:paraId="0A7DF19B" w14:textId="77777777" w:rsidR="00DC6019" w:rsidRPr="002765AD" w:rsidRDefault="00DC6019" w:rsidP="00DC6019">
      <w:pPr>
        <w:jc w:val="both"/>
        <w:rPr>
          <w:rFonts w:ascii="Century Gothic" w:hAnsi="Century Gothic"/>
          <w:color w:val="000000"/>
        </w:rPr>
      </w:pPr>
    </w:p>
    <w:p w14:paraId="1CAA8282"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center"/>
        <w:rPr>
          <w:rFonts w:ascii="Calibri" w:hAnsi="Calibri"/>
          <w:b/>
          <w:color w:val="000000"/>
        </w:rPr>
      </w:pPr>
      <w:r w:rsidRPr="002765AD">
        <w:rPr>
          <w:rFonts w:ascii="Calibri" w:hAnsi="Calibri"/>
          <w:b/>
          <w:color w:val="000000"/>
        </w:rPr>
        <w:t>INFORMACION DE INTERES PARA LA ENTIDAD SOLICITANTE</w:t>
      </w:r>
    </w:p>
    <w:p w14:paraId="545D6C5D" w14:textId="583C842D"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1.-El tratamiento de los datos aportados en la solicitud y la declaración responsable se ajustará a lo dispuesto en la Ley Orgánica 3/2018, de 5 de diciembre, de Protección de datos Personales y Garantía de los Derechos Digitales, y demás disposiciones complementarias. El ejercicio de los derechos de acceso, rectificación y cancelación se ejercerá, conforme a la legislación</w:t>
      </w:r>
      <w:r w:rsidR="002765AD" w:rsidRPr="002765AD">
        <w:rPr>
          <w:rFonts w:ascii="Calibri" w:hAnsi="Calibri"/>
          <w:color w:val="000000"/>
        </w:rPr>
        <w:t xml:space="preserve"> señalada, en la Dirección General de Justicia</w:t>
      </w:r>
      <w:r w:rsidRPr="002765AD">
        <w:rPr>
          <w:rFonts w:ascii="Calibri" w:hAnsi="Calibri"/>
          <w:color w:val="000000"/>
        </w:rPr>
        <w:t>.</w:t>
      </w:r>
    </w:p>
    <w:p w14:paraId="1F1310C1" w14:textId="079D5E46" w:rsidR="00DC6019" w:rsidRPr="002765AD" w:rsidRDefault="002765AD"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2.-La Dirección General de Justicia</w:t>
      </w:r>
      <w:r w:rsidR="00DC6019" w:rsidRPr="002765AD">
        <w:rPr>
          <w:rFonts w:ascii="Calibri" w:hAnsi="Calibri"/>
          <w:color w:val="000000"/>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14:paraId="3976798E"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p>
    <w:p w14:paraId="1CD4E2E1" w14:textId="77777777" w:rsidR="00DC6019" w:rsidRPr="002765AD" w:rsidRDefault="00DC6019" w:rsidP="004929CA">
      <w:pPr>
        <w:rPr>
          <w:rFonts w:ascii="Calibri Light" w:hAnsi="Calibri Light" w:cs="Calibri Light"/>
        </w:rPr>
      </w:pPr>
    </w:p>
    <w:sectPr w:rsidR="00DC6019" w:rsidRPr="002765AD" w:rsidSect="002D3D99">
      <w:headerReference w:type="default" r:id="rId11"/>
      <w:headerReference w:type="first" r:id="rId12"/>
      <w:footerReference w:type="first" r:id="rId13"/>
      <w:pgSz w:w="11906" w:h="16838" w:code="9"/>
      <w:pgMar w:top="2835"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CC3B" w14:textId="77777777" w:rsidR="00813795" w:rsidRDefault="00813795">
      <w:r>
        <w:separator/>
      </w:r>
    </w:p>
  </w:endnote>
  <w:endnote w:type="continuationSeparator" w:id="0">
    <w:p w14:paraId="45CC592C" w14:textId="77777777" w:rsidR="00813795" w:rsidRDefault="0081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Courier"/>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334A"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E6F0" w14:textId="77777777" w:rsidR="00813795" w:rsidRDefault="00813795">
      <w:r>
        <w:separator/>
      </w:r>
    </w:p>
  </w:footnote>
  <w:footnote w:type="continuationSeparator" w:id="0">
    <w:p w14:paraId="1BBE8BA3" w14:textId="77777777" w:rsidR="00813795" w:rsidRDefault="0081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F86B" w14:textId="77777777" w:rsidR="00F344C7" w:rsidRDefault="00F344C7" w:rsidP="00F344C7">
    <w:pPr>
      <w:pStyle w:val="Encabezado"/>
      <w:jc w:val="center"/>
    </w:pPr>
  </w:p>
  <w:p w14:paraId="0119DCAB" w14:textId="77777777" w:rsidR="00F344C7" w:rsidRDefault="00F344C7" w:rsidP="00F344C7">
    <w:pPr>
      <w:pStyle w:val="Encabezado"/>
      <w:jc w:val="center"/>
    </w:pPr>
  </w:p>
  <w:p w14:paraId="58333DA6" w14:textId="77777777" w:rsidR="00696F6F" w:rsidRPr="007250F0" w:rsidRDefault="007F433A" w:rsidP="00F344C7">
    <w:pPr>
      <w:pStyle w:val="Encabezado"/>
      <w:jc w:val="center"/>
    </w:pPr>
    <w:r>
      <w:rPr>
        <w:noProof/>
      </w:rPr>
      <w:drawing>
        <wp:anchor distT="0" distB="0" distL="114300" distR="114300" simplePos="0" relativeHeight="251662336" behindDoc="1" locked="0" layoutInCell="1" allowOverlap="1" wp14:anchorId="59CB08A4" wp14:editId="5D175C89">
          <wp:simplePos x="904875" y="828675"/>
          <wp:positionH relativeFrom="page">
            <wp:align>left</wp:align>
          </wp:positionH>
          <wp:positionV relativeFrom="page">
            <wp:align>top</wp:align>
          </wp:positionV>
          <wp:extent cx="7560000" cy="1098000"/>
          <wp:effectExtent l="0" t="0" r="317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2-derecha-1c-02-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BB50" w14:textId="7625ACCB"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74B"/>
    <w:multiLevelType w:val="hybridMultilevel"/>
    <w:tmpl w:val="F4E21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2175D95"/>
    <w:multiLevelType w:val="hybridMultilevel"/>
    <w:tmpl w:val="BD08501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03A3C"/>
    <w:rsid w:val="000729E0"/>
    <w:rsid w:val="0009463A"/>
    <w:rsid w:val="000B64A1"/>
    <w:rsid w:val="000F543D"/>
    <w:rsid w:val="0010592C"/>
    <w:rsid w:val="00157CFA"/>
    <w:rsid w:val="001A6495"/>
    <w:rsid w:val="001E7B8C"/>
    <w:rsid w:val="002765AD"/>
    <w:rsid w:val="00277C9A"/>
    <w:rsid w:val="002D3D99"/>
    <w:rsid w:val="002F09C8"/>
    <w:rsid w:val="00333F0D"/>
    <w:rsid w:val="003E2B5A"/>
    <w:rsid w:val="003F105E"/>
    <w:rsid w:val="003F1206"/>
    <w:rsid w:val="004929CA"/>
    <w:rsid w:val="00494706"/>
    <w:rsid w:val="004C73BA"/>
    <w:rsid w:val="004E1A43"/>
    <w:rsid w:val="005367EB"/>
    <w:rsid w:val="00540E9D"/>
    <w:rsid w:val="00557BB7"/>
    <w:rsid w:val="005971A0"/>
    <w:rsid w:val="005B095B"/>
    <w:rsid w:val="005C6849"/>
    <w:rsid w:val="00614526"/>
    <w:rsid w:val="00696F6F"/>
    <w:rsid w:val="006A5952"/>
    <w:rsid w:val="006F1FB3"/>
    <w:rsid w:val="007018B0"/>
    <w:rsid w:val="00793F61"/>
    <w:rsid w:val="007C27F2"/>
    <w:rsid w:val="007C7DC8"/>
    <w:rsid w:val="007F433A"/>
    <w:rsid w:val="007F753B"/>
    <w:rsid w:val="00813795"/>
    <w:rsid w:val="00815884"/>
    <w:rsid w:val="008A35FE"/>
    <w:rsid w:val="00910D59"/>
    <w:rsid w:val="00994342"/>
    <w:rsid w:val="009E202F"/>
    <w:rsid w:val="009E381E"/>
    <w:rsid w:val="00A077F0"/>
    <w:rsid w:val="00A117E7"/>
    <w:rsid w:val="00A2145B"/>
    <w:rsid w:val="00A52259"/>
    <w:rsid w:val="00B13E3D"/>
    <w:rsid w:val="00B46857"/>
    <w:rsid w:val="00B662C6"/>
    <w:rsid w:val="00B665D9"/>
    <w:rsid w:val="00B96F7E"/>
    <w:rsid w:val="00BD6A02"/>
    <w:rsid w:val="00BE1EC3"/>
    <w:rsid w:val="00BE2BD3"/>
    <w:rsid w:val="00C60720"/>
    <w:rsid w:val="00CA2943"/>
    <w:rsid w:val="00CC1284"/>
    <w:rsid w:val="00CC53BD"/>
    <w:rsid w:val="00CC6CE8"/>
    <w:rsid w:val="00CF3969"/>
    <w:rsid w:val="00D332F9"/>
    <w:rsid w:val="00DA418D"/>
    <w:rsid w:val="00DC6019"/>
    <w:rsid w:val="00DF6784"/>
    <w:rsid w:val="00E65606"/>
    <w:rsid w:val="00E8181E"/>
    <w:rsid w:val="00F037C2"/>
    <w:rsid w:val="00F344C7"/>
    <w:rsid w:val="00FD2D63"/>
    <w:rsid w:val="00FF0CDE"/>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4F041B"/>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semiHidden/>
    <w:unhideWhenUsed/>
    <w:rsid w:val="00003A3C"/>
    <w:rPr>
      <w:color w:val="0000FF" w:themeColor="hyperlink"/>
      <w:u w:val="single"/>
    </w:rPr>
  </w:style>
  <w:style w:type="paragraph" w:styleId="Prrafodelista">
    <w:name w:val="List Paragraph"/>
    <w:basedOn w:val="Normal"/>
    <w:uiPriority w:val="34"/>
    <w:qFormat/>
    <w:rsid w:val="00003A3C"/>
    <w:pPr>
      <w:ind w:left="720"/>
      <w:contextualSpacing/>
    </w:pPr>
    <w:rPr>
      <w:sz w:val="24"/>
      <w:szCs w:val="24"/>
    </w:rPr>
  </w:style>
  <w:style w:type="paragraph" w:styleId="NormalWeb">
    <w:name w:val="Normal (Web)"/>
    <w:basedOn w:val="Normal"/>
    <w:rsid w:val="00DC60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Vacat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oticias.juridicas.com/base_datos/Admin/lo1-2002.html" TargetMode="External"/><Relationship Id="rId4" Type="http://schemas.openxmlformats.org/officeDocument/2006/relationships/webSettings" Target="webSettings.xml"/><Relationship Id="rId9" Type="http://schemas.openxmlformats.org/officeDocument/2006/relationships/hyperlink" Target="http://noticias.juridicas.com/base_datos/Admin/lo1-2002.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Jiménez De Luque, Jesús (Justicia)</cp:lastModifiedBy>
  <cp:revision>3</cp:revision>
  <cp:lastPrinted>2015-10-05T06:52:00Z</cp:lastPrinted>
  <dcterms:created xsi:type="dcterms:W3CDTF">2025-04-30T10:06:00Z</dcterms:created>
  <dcterms:modified xsi:type="dcterms:W3CDTF">2025-05-13T05:54:00Z</dcterms:modified>
</cp:coreProperties>
</file>