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21" w:rsidRPr="005F0E21" w:rsidRDefault="005F0E21" w:rsidP="005F0E21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5F0E21">
        <w:rPr>
          <w:rFonts w:ascii="Arial" w:eastAsia="Times New Roman" w:hAnsi="Arial" w:cs="Times New Roman"/>
          <w:b/>
          <w:szCs w:val="20"/>
          <w:lang w:val="es-ES_tradnl" w:eastAsia="es-ES"/>
        </w:rPr>
        <w:t>ANEXO II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5F0E21">
        <w:rPr>
          <w:rFonts w:ascii="Arial" w:eastAsia="Times New Roman" w:hAnsi="Arial" w:cs="Times New Roman"/>
          <w:b/>
          <w:szCs w:val="20"/>
          <w:lang w:val="es-ES_tradnl" w:eastAsia="es-ES"/>
        </w:rPr>
        <w:t>DECLARACIONES EN RELACIÓN CON LA EJECUCIÓN DE ACTUACIONES DEL PLAN DE RECUPERACIÓN, TRANSFORMACIÓN Y RESILIENCIA (PRTR)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2209B7"/>
        </w:rPr>
      </w:pPr>
      <w:r w:rsidRPr="005F0E21">
        <w:rPr>
          <w:rFonts w:ascii="Arial" w:eastAsia="Times New Roman" w:hAnsi="Arial" w:cs="Arial"/>
          <w:color w:val="000000"/>
        </w:rPr>
        <w:t>Procedimiento: Convocatoria de subvenciones para</w:t>
      </w:r>
      <w:r w:rsidR="00790DFC">
        <w:rPr>
          <w:rFonts w:ascii="Arial" w:eastAsia="Times New Roman" w:hAnsi="Arial" w:cs="Arial"/>
          <w:color w:val="000000"/>
        </w:rPr>
        <w:t xml:space="preserve"> inversiones en digitalización</w:t>
      </w:r>
      <w:r w:rsidR="00F02C3E">
        <w:rPr>
          <w:rFonts w:ascii="Arial" w:eastAsia="Times New Roman" w:hAnsi="Arial" w:cs="Arial"/>
          <w:color w:val="000000"/>
        </w:rPr>
        <w:t xml:space="preserve"> de asociaciones turísticas</w:t>
      </w:r>
      <w:r w:rsidRPr="005F0E21">
        <w:rPr>
          <w:rFonts w:ascii="Arial" w:eastAsia="Times New Roman" w:hAnsi="Arial" w:cs="Arial"/>
          <w:color w:val="000000"/>
        </w:rPr>
        <w:t>. Plan de Recuperación, Transformación y Resiliencia - Financiado por la Unión Europea – Next Generation EU."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 xml:space="preserve">Don/Doña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bookmarkStart w:id="1" w:name="_GoBack"/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bookmarkEnd w:id="1"/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0"/>
      <w:r w:rsidRPr="005F0E21">
        <w:rPr>
          <w:rFonts w:ascii="Arial" w:eastAsia="Times New Roman" w:hAnsi="Arial" w:cs="Arial"/>
          <w:color w:val="000000"/>
          <w:lang w:eastAsia="es-ES"/>
        </w:rPr>
        <w:t xml:space="preserve">………………………………………., con NIF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"/>
      <w:r w:rsidRPr="005F0E21">
        <w:rPr>
          <w:rFonts w:ascii="Arial" w:eastAsia="Times New Roman" w:hAnsi="Arial" w:cs="Arial"/>
          <w:color w:val="000000"/>
          <w:lang w:eastAsia="es-ES"/>
        </w:rPr>
        <w:t xml:space="preserve">…………………….., como  REPRESENTANTE de la entidad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3"/>
      <w:r w:rsidRPr="005F0E21">
        <w:rPr>
          <w:rFonts w:ascii="Arial" w:eastAsia="Times New Roman" w:hAnsi="Arial" w:cs="Arial"/>
          <w:color w:val="000000"/>
          <w:lang w:eastAsia="es-ES"/>
        </w:rPr>
        <w:t xml:space="preserve">………………………………………………………………………….., con CIF </w:t>
      </w:r>
      <w:r w:rsidR="007552A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7552A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="007552A6">
        <w:rPr>
          <w:rFonts w:ascii="Arial" w:eastAsia="Times New Roman" w:hAnsi="Arial" w:cs="Arial"/>
          <w:color w:val="000000"/>
          <w:lang w:eastAsia="es-ES"/>
        </w:rPr>
      </w:r>
      <w:r w:rsidR="007552A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="007552A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7552A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7552A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7552A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7552A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7552A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4"/>
      <w:r w:rsidRPr="005F0E21">
        <w:rPr>
          <w:rFonts w:ascii="Arial" w:eastAsia="Times New Roman" w:hAnsi="Arial" w:cs="Arial"/>
          <w:color w:val="000000"/>
          <w:lang w:eastAsia="es-ES"/>
        </w:rPr>
        <w:t>………………………………………………………………...,   en la condición de beneficiaria de ayudas financiadas con recursos provenientes del PRTR, formula las siguientes DECLARACIONES: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ausencia de conflicto de intereses: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>Al objeto de garantizar la imparcialidad en el procedimiento arriba referenciado, la persona que suscribe declara: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bCs/>
          <w:color w:val="000000"/>
        </w:rPr>
        <w:t>Primero</w:t>
      </w:r>
      <w:r w:rsidRPr="005F0E21">
        <w:rPr>
          <w:rFonts w:ascii="Arial" w:eastAsia="Times New Roman" w:hAnsi="Arial" w:cs="Arial"/>
          <w:b/>
          <w:bCs/>
          <w:color w:val="000000"/>
        </w:rPr>
        <w:t xml:space="preserve">. </w:t>
      </w:r>
      <w:r w:rsidRPr="005F0E21">
        <w:rPr>
          <w:rFonts w:ascii="Arial" w:eastAsia="Times New Roman" w:hAnsi="Arial" w:cs="Arial"/>
          <w:color w:val="000000"/>
        </w:rPr>
        <w:t xml:space="preserve">Estar informada de lo siguiente: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61.3 </w:t>
      </w:r>
      <w:r w:rsidRPr="005F0E21">
        <w:rPr>
          <w:rFonts w:ascii="Arial" w:eastAsia="Times New Roman" w:hAnsi="Arial" w:cs="Arial"/>
          <w:i/>
          <w:iCs/>
          <w:color w:val="000000"/>
        </w:rPr>
        <w:t>“Conflicto de intereses”</w:t>
      </w:r>
      <w:r w:rsidRPr="005F0E21">
        <w:rPr>
          <w:rFonts w:ascii="Arial" w:eastAsia="Times New Roman" w:hAnsi="Arial" w:cs="Arial"/>
          <w:bCs/>
          <w:i/>
          <w:iCs/>
          <w:color w:val="000000"/>
        </w:rPr>
        <w:t xml:space="preserve">, </w:t>
      </w:r>
      <w:r w:rsidRPr="005F0E21">
        <w:rPr>
          <w:rFonts w:ascii="Arial" w:eastAsia="Times New Roman" w:hAnsi="Arial" w:cs="Arial"/>
          <w:bCs/>
          <w:color w:val="000000"/>
        </w:rPr>
        <w:t xml:space="preserve">del Reglamento (UE, Euratom) 2018/1046 del Parlamento Europeo y del Consejo, de 18 de julio (Reglamento financiero de la UE) </w:t>
      </w:r>
      <w:r w:rsidRPr="005F0E21">
        <w:rPr>
          <w:rFonts w:ascii="Arial" w:eastAsia="Times New Roman" w:hAnsi="Arial" w:cs="Arial"/>
          <w:color w:val="000000"/>
        </w:rPr>
        <w:t>establece que “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existirá </w:t>
      </w:r>
      <w:r w:rsidRPr="005F0E21">
        <w:rPr>
          <w:rFonts w:ascii="Arial" w:eastAsia="Times New Roman" w:hAnsi="Arial" w:cs="Arial"/>
          <w:bCs/>
          <w:i/>
          <w:iCs/>
          <w:color w:val="000000"/>
        </w:rPr>
        <w:t xml:space="preserve">conflicto de intereses 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52 </w:t>
      </w:r>
      <w:r w:rsidRPr="005F0E21">
        <w:rPr>
          <w:rFonts w:ascii="Arial" w:eastAsia="Times New Roman" w:hAnsi="Arial" w:cs="Arial"/>
          <w:color w:val="000000"/>
        </w:rPr>
        <w:t>“</w:t>
      </w:r>
      <w:r w:rsidRPr="005F0E21">
        <w:rPr>
          <w:rFonts w:ascii="Arial" w:eastAsia="Times New Roman" w:hAnsi="Arial" w:cs="Arial"/>
          <w:i/>
          <w:iCs/>
          <w:color w:val="000000"/>
        </w:rPr>
        <w:t>Resolución de los conflictos de interés</w:t>
      </w:r>
      <w:r w:rsidRPr="005F0E21">
        <w:rPr>
          <w:rFonts w:ascii="Arial" w:eastAsia="Times New Roman" w:hAnsi="Arial" w:cs="Arial"/>
          <w:color w:val="000000"/>
        </w:rPr>
        <w:t xml:space="preserve">” de </w:t>
      </w:r>
      <w:r w:rsidRPr="005F0E21">
        <w:rPr>
          <w:rFonts w:ascii="Arial" w:eastAsia="Times New Roman" w:hAnsi="Arial" w:cs="Arial"/>
          <w:bCs/>
          <w:color w:val="000000"/>
        </w:rPr>
        <w:t xml:space="preserve">la Ley Foral 2/2018, de 13 de abril, de Contratos del Sector Público </w:t>
      </w:r>
      <w:r w:rsidRPr="005F0E21">
        <w:rPr>
          <w:rFonts w:ascii="Arial" w:eastAsia="Times New Roman" w:hAnsi="Arial" w:cs="Arial"/>
          <w:color w:val="000000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23 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“Abstención”, </w:t>
      </w:r>
      <w:r w:rsidRPr="005F0E21">
        <w:rPr>
          <w:rFonts w:ascii="Arial" w:eastAsia="Times New Roman" w:hAnsi="Arial" w:cs="Arial"/>
          <w:color w:val="000000"/>
        </w:rPr>
        <w:t xml:space="preserve">de la </w:t>
      </w:r>
      <w:r w:rsidRPr="005F0E21">
        <w:rPr>
          <w:rFonts w:ascii="Arial" w:eastAsia="Times New Roman" w:hAnsi="Arial" w:cs="Arial"/>
          <w:bCs/>
          <w:color w:val="000000"/>
        </w:rPr>
        <w:t xml:space="preserve">Ley 40/2015, de 1 octubre, de Régimen Jurídico del Sector Público, </w:t>
      </w:r>
      <w:r w:rsidRPr="005F0E21">
        <w:rPr>
          <w:rFonts w:ascii="Arial" w:eastAsia="Times New Roman" w:hAnsi="Arial" w:cs="Arial"/>
          <w:color w:val="000000"/>
        </w:rPr>
        <w:t>establece que deberán abstenerse de intervenir en el procedimiento “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las autoridades y el personal al servicio de las Administraciones en quienes se den algunas de las circunstancias señaladas en el apartado siguiente”, </w:t>
      </w:r>
      <w:r w:rsidRPr="005F0E21">
        <w:rPr>
          <w:rFonts w:ascii="Arial" w:eastAsia="Times New Roman" w:hAnsi="Arial" w:cs="Arial"/>
          <w:color w:val="000000"/>
        </w:rPr>
        <w:t xml:space="preserve">siendo éstas: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</w:t>
      </w:r>
      <w:r w:rsidRPr="005F0E21">
        <w:rPr>
          <w:rFonts w:ascii="Arial" w:eastAsia="Times New Roman" w:hAnsi="Arial" w:cs="Arial"/>
          <w:i/>
          <w:iCs/>
          <w:color w:val="000000"/>
        </w:rPr>
        <w:lastRenderedPageBreak/>
        <w:t xml:space="preserve">profesional o estar asociado con éstos para el asesoramiento, la representación o el mandato.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amistad íntima o enemistad manifiesta con alguna de las personas mencionadas en el apartado anterior.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Haber intervenido como perito o como testigo en el procedimiento de que se trate.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F0E21">
        <w:rPr>
          <w:rFonts w:ascii="Arial" w:eastAsia="Times New Roman" w:hAnsi="Arial" w:cs="Arial"/>
          <w:bCs/>
          <w:color w:val="000000"/>
        </w:rPr>
        <w:t xml:space="preserve">Segundo. </w:t>
      </w:r>
      <w:r w:rsidRPr="005F0E21">
        <w:rPr>
          <w:rFonts w:ascii="Arial" w:eastAsia="Times New Roman" w:hAnsi="Arial" w:cs="Arial"/>
          <w:color w:val="000000"/>
        </w:rPr>
        <w:t xml:space="preserve">Que no se encuentra incursa en ninguna situación que pueda calificarse de “conflicto de intereses” de las indicadas en el artículo 61.3 del Reglamento Financiero de la UE y que no concurre en su persona ninguna causa de abstención del artículo 23.2 de la Ley </w:t>
      </w:r>
      <w:r w:rsidRPr="005F0E21">
        <w:rPr>
          <w:rFonts w:ascii="Arial" w:eastAsia="Times New Roman" w:hAnsi="Arial" w:cs="Arial"/>
        </w:rPr>
        <w:t xml:space="preserve">40/2015, de 1 de octubre, de Régimen Jurídico del Sector Público, que pueda afectar al mencionado procedimiento.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F0E21">
        <w:rPr>
          <w:rFonts w:ascii="Arial" w:eastAsia="Times New Roman" w:hAnsi="Arial" w:cs="Arial"/>
          <w:bCs/>
        </w:rPr>
        <w:t xml:space="preserve">Tercero. </w:t>
      </w:r>
      <w:r w:rsidRPr="005F0E21">
        <w:rPr>
          <w:rFonts w:ascii="Arial" w:eastAsia="Times New Roman" w:hAnsi="Arial" w:cs="Arial"/>
        </w:rPr>
        <w:t xml:space="preserve">Que se compromete a poner en conocimiento del órgano correspondiente, sin dilación, cualquier situación de conflicto de intereses o causa de abstención que dé o pudiera dar lugar a dicho escenario. 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val="es-ES_tradnl" w:eastAsia="es-ES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0E21">
        <w:rPr>
          <w:rFonts w:ascii="Arial" w:eastAsia="Times New Roman" w:hAnsi="Arial" w:cs="Arial"/>
          <w:bCs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cesión y tratamiento de datos: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5F0E21" w:rsidRPr="005F0E21" w:rsidRDefault="005F0E21" w:rsidP="005F0E21">
      <w:pPr>
        <w:numPr>
          <w:ilvl w:val="0"/>
          <w:numId w:val="2"/>
        </w:num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La letra d) del apartado 2: «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El nombre del perceptor final de los fondos;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iii.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lastRenderedPageBreak/>
        <w:t>iv.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5F0E21">
        <w:rPr>
          <w:rFonts w:ascii="Arial" w:eastAsia="Times New Roman" w:hAnsi="Arial" w:cs="Arial"/>
          <w:color w:val="000000"/>
          <w:lang w:eastAsia="es-ES"/>
        </w:rPr>
        <w:t>».</w:t>
      </w:r>
    </w:p>
    <w:p w:rsidR="005F0E21" w:rsidRPr="005F0E21" w:rsidRDefault="005F0E21" w:rsidP="005F0E21">
      <w:pPr>
        <w:numPr>
          <w:ilvl w:val="0"/>
          <w:numId w:val="2"/>
        </w:numPr>
        <w:shd w:val="clear" w:color="auto" w:fill="FFFFFF"/>
        <w:spacing w:before="360"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Apartado 3: «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</w:t>
      </w:r>
      <w:r w:rsidRPr="005F0E21">
        <w:rPr>
          <w:rFonts w:ascii="Arial" w:eastAsia="Times New Roman" w:hAnsi="Arial" w:cs="Arial"/>
          <w:color w:val="000000"/>
          <w:lang w:eastAsia="es-ES"/>
        </w:rPr>
        <w:t>».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Conforme al marco jurídico expuesto, manifiesta acceder a la cesión y tratamiento de los datos con los fines expresamente relacionados en los artículos citados.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compromiso de cumplimiento de principios transversales: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5F0E21">
        <w:rPr>
          <w:rFonts w:ascii="Arial" w:eastAsia="Times New Roman" w:hAnsi="Arial" w:cs="Arial"/>
          <w:i/>
          <w:iCs/>
          <w:color w:val="000000"/>
          <w:lang w:eastAsia="es-ES"/>
        </w:rPr>
        <w:t>do no significant harm</w:t>
      </w:r>
      <w:r w:rsidRPr="005F0E21">
        <w:rPr>
          <w:rFonts w:ascii="Arial" w:eastAsia="Times New Roman" w:hAnsi="Arial" w:cs="Arial"/>
          <w:color w:val="000000"/>
          <w:lang w:eastAsia="es-ES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sobre el cumplimiento del principio de no perjuicio significativo a los seis objetivos medioambientales (DNSH)</w:t>
      </w:r>
    </w:p>
    <w:p w:rsidR="005F0E21" w:rsidRPr="005F0E21" w:rsidRDefault="005F0E21" w:rsidP="005F0E21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  <w:r w:rsidRPr="005F0E21">
        <w:rPr>
          <w:rFonts w:ascii="Arial" w:eastAsia="Arial MT" w:hAnsi="Arial" w:cs="Arial"/>
          <w:color w:val="000000"/>
        </w:rPr>
        <w:t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</w:t>
      </w:r>
    </w:p>
    <w:p w:rsidR="005F0E21" w:rsidRPr="005F0E21" w:rsidRDefault="005F0E21" w:rsidP="005F0E21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NO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CAUSA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SEIS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OBJETIVOS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MEDIOAMBIENTALES</w:t>
      </w:r>
      <w:r w:rsidRPr="005F0E21">
        <w:rPr>
          <w:rFonts w:ascii="Arial" w:eastAsia="Arial MT" w:hAnsi="Arial" w:cs="Arial"/>
          <w:b/>
        </w:rPr>
        <w:t xml:space="preserve"> </w:t>
      </w:r>
      <w:r w:rsidRPr="005F0E21">
        <w:rPr>
          <w:rFonts w:ascii="Arial" w:eastAsia="Arial MT" w:hAnsi="Arial" w:cs="Arial"/>
        </w:rPr>
        <w:t>del artículo 17 del Reglamento (UE) 2020/852, que se enumeran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continuación:</w:t>
      </w:r>
    </w:p>
    <w:p w:rsidR="005F0E21" w:rsidRPr="005F0E21" w:rsidRDefault="005F0E21" w:rsidP="005F0E21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78" w:lineRule="auto"/>
        <w:ind w:right="126"/>
        <w:jc w:val="both"/>
        <w:rPr>
          <w:rFonts w:ascii="Arial" w:eastAsia="Arial MT" w:hAnsi="Arial" w:cs="Arial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lastRenderedPageBreak/>
        <w:t>Mitigación del cambio climático</w:t>
      </w:r>
      <w:r w:rsidRPr="005F0E21">
        <w:rPr>
          <w:rFonts w:ascii="Arial" w:eastAsia="Arial MT" w:hAnsi="Arial" w:cs="Arial"/>
          <w:i/>
        </w:rPr>
        <w:t xml:space="preserve"> </w:t>
      </w:r>
      <w:r w:rsidRPr="005F0E21">
        <w:rPr>
          <w:rFonts w:ascii="Arial" w:eastAsia="Arial MT" w:hAnsi="Arial" w:cs="Arial"/>
        </w:rPr>
        <w:t>- se considera que una actividad causa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 a la mitigación del cambio climático si da lugar a considerables emisiones de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gases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efecto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invernadero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(GEI).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4" w:after="0" w:line="240" w:lineRule="auto"/>
        <w:ind w:right="118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Adaptación al cambio climático </w:t>
      </w:r>
      <w:r w:rsidRPr="005F0E21">
        <w:rPr>
          <w:rFonts w:ascii="Arial" w:eastAsia="Arial MT" w:hAnsi="Arial" w:cs="Arial"/>
        </w:rPr>
        <w:t>- se considera que una actividad causa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 a la adaptación al cambio climático si provoca un aumento de los efectos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adversos de las condiciones climáticas actuales y de las previstas en el futuro, sobre sí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misma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las personas,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naturaleza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los activos.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2"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Uso sostenible y protección de los recursos hídricos y marinos </w:t>
      </w:r>
      <w:r w:rsidRPr="005F0E21">
        <w:rPr>
          <w:rFonts w:ascii="Arial" w:eastAsia="Arial MT" w:hAnsi="Arial" w:cs="Arial"/>
        </w:rPr>
        <w:t>- se considera que una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actividad causa un perjuicio significativo a la utilización y protección sostenibles de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recursos hídricos y marinos si va en detrimento del buen estado o del buen potencial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ecológico de las masas de agua, incluidas las superficiales y subterráneas, y del buen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estado ecológico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2"/>
        </w:rPr>
        <w:t xml:space="preserve"> </w:t>
      </w:r>
      <w:r w:rsidRPr="005F0E21">
        <w:rPr>
          <w:rFonts w:ascii="Arial" w:eastAsia="Arial MT" w:hAnsi="Arial" w:cs="Arial"/>
        </w:rPr>
        <w:t>aguas marinas.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0"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Economía circular, incluidos la prevención y el reciclado de residuos - </w:t>
      </w:r>
      <w:r w:rsidRPr="005F0E21">
        <w:rPr>
          <w:rFonts w:ascii="Arial" w:eastAsia="Arial MT" w:hAnsi="Arial" w:cs="Arial"/>
        </w:rPr>
        <w:t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</w:t>
      </w: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0"/>
        </w:tabs>
        <w:autoSpaceDE w:val="0"/>
        <w:autoSpaceDN w:val="0"/>
        <w:spacing w:before="159" w:after="0" w:line="235" w:lineRule="auto"/>
        <w:ind w:left="1468" w:right="187" w:hanging="22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 xml:space="preserve">La actuación apoyará el objetivo europeo de garantizar que al menos el 70% (en peso) de los residuos de construcción y demolición no peligrosos (excluyendo el material natural mencionado en la categoría 17 05 04 en la Lista europea de residuos establecida por la </w:t>
      </w:r>
      <w:hyperlink r:id="rId7">
        <w:r w:rsidRPr="005F0E21">
          <w:rPr>
            <w:rFonts w:ascii="Arial" w:eastAsia="Arial MT" w:hAnsi="Arial" w:cs="Arial"/>
          </w:rPr>
          <w:t>Decisión 2000/532/EC</w:t>
        </w:r>
      </w:hyperlink>
      <w:r w:rsidRPr="005F0E21">
        <w:rPr>
          <w:rFonts w:ascii="Arial" w:eastAsia="Arial MT" w:hAnsi="Arial" w:cs="Arial"/>
        </w:rPr>
        <w:t>) generados en el sitio de construcción está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4" w:after="0" w:line="235" w:lineRule="auto"/>
        <w:ind w:left="1468" w:right="187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Los operadores limitan la generación de residuos en procesos relacionados con la construcción y demolición, de conformidad con el Protocolo de gestión de residuos de construcción y demolición de la UE; teniendo en cuenta las mejores prácticas disponibles, y utilizando la demolición selectiva para permitir la eliminación y manipulación segura de sustancias peligrosas y facilitar la reutilización y el reciclaje de alta calidad mediante la eliminación selectiva de materiales, utilizando la clasificación disponible sistemas para residuos de construcción y demolición.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1" w:after="0" w:line="235" w:lineRule="auto"/>
        <w:ind w:left="1469" w:right="184" w:hanging="228"/>
        <w:jc w:val="both"/>
        <w:rPr>
          <w:rFonts w:ascii="Arial MT" w:eastAsia="Arial MT" w:hAnsi="Arial MT" w:cs="Arial MT"/>
          <w:sz w:val="24"/>
        </w:rPr>
      </w:pPr>
      <w:r w:rsidRPr="005F0E21">
        <w:rPr>
          <w:rFonts w:ascii="Arial" w:eastAsia="Arial MT" w:hAnsi="Arial" w:cs="Arial"/>
        </w:rPr>
        <w:t>Los diseños de edificios y las técnicas de construcción apoyan la circularidad y, en particular, demuestran, con referencia a la norma ISO</w:t>
      </w:r>
      <w:r w:rsidRPr="005F0E21">
        <w:rPr>
          <w:rFonts w:ascii="Arial MT" w:eastAsia="Arial MT" w:hAnsi="Arial MT" w:cs="Arial MT"/>
          <w:spacing w:val="23"/>
          <w:sz w:val="24"/>
        </w:rPr>
        <w:t xml:space="preserve"> </w:t>
      </w:r>
      <w:r w:rsidRPr="005F0E21">
        <w:rPr>
          <w:rFonts w:ascii="Arial" w:eastAsia="Arial MT" w:hAnsi="Arial" w:cs="Arial"/>
        </w:rPr>
        <w:t>20887 u otras normas para evaluar la capacidad de desmontaje o adaptabilidad de los</w:t>
      </w:r>
      <w:r w:rsidRPr="005F0E21">
        <w:rPr>
          <w:rFonts w:ascii="Arial MT" w:eastAsia="Arial MT" w:hAnsi="Arial MT" w:cs="Arial MT"/>
          <w:spacing w:val="34"/>
          <w:sz w:val="24"/>
        </w:rPr>
        <w:t xml:space="preserve"> </w:t>
      </w:r>
      <w:r w:rsidRPr="005F0E21">
        <w:rPr>
          <w:rFonts w:ascii="Arial" w:eastAsia="Arial MT" w:hAnsi="Arial" w:cs="Arial"/>
        </w:rPr>
        <w:t>edificios, cómo están diseñados para ser más eficientes en el uso de recursos, adaptables, flexibles y desmontables para permitir la reutilización y reciclaje utilizando los sistemas de clasificación disponibles para residuos de construcción y demolición.</w:t>
      </w: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9" w:after="0" w:line="240" w:lineRule="auto"/>
        <w:ind w:right="118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>Prevención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y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control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contaminación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atmósfera,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agua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o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suelo</w:t>
      </w:r>
      <w:r w:rsidRPr="005F0E21">
        <w:rPr>
          <w:rFonts w:ascii="Arial" w:eastAsia="Arial MT" w:hAnsi="Arial" w:cs="Arial"/>
          <w:i/>
          <w:spacing w:val="6"/>
        </w:rPr>
        <w:t xml:space="preserve"> </w:t>
      </w:r>
      <w:r w:rsidRPr="005F0E21">
        <w:rPr>
          <w:rFonts w:ascii="Arial" w:eastAsia="Arial MT" w:hAnsi="Arial" w:cs="Arial"/>
        </w:rPr>
        <w:t>-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se</w:t>
      </w:r>
      <w:r w:rsidRPr="005F0E21">
        <w:rPr>
          <w:rFonts w:ascii="Arial" w:eastAsia="Arial MT" w:hAnsi="Arial" w:cs="Arial"/>
          <w:spacing w:val="-5"/>
        </w:rPr>
        <w:t xml:space="preserve"> </w:t>
      </w:r>
      <w:r w:rsidRPr="005F0E21">
        <w:rPr>
          <w:rFonts w:ascii="Arial" w:eastAsia="Arial MT" w:hAnsi="Arial" w:cs="Arial"/>
        </w:rPr>
        <w:t>considera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que una actividad causa un perjuicio significativo a la prevención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y el control de la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contaminación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cuando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lugar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aumento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emisiones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contaminantes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atmósfera,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el agua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el suelo.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1" w:after="0" w:line="240" w:lineRule="auto"/>
        <w:ind w:right="120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Protección y restauración de la biodiversidad y los ecosistemas </w:t>
      </w:r>
      <w:r w:rsidRPr="005F0E21">
        <w:rPr>
          <w:rFonts w:ascii="Arial" w:eastAsia="Arial MT" w:hAnsi="Arial" w:cs="Arial"/>
        </w:rPr>
        <w:t>- se considera que una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actividad</w:t>
      </w:r>
      <w:r w:rsidRPr="005F0E21">
        <w:rPr>
          <w:rFonts w:ascii="Arial" w:eastAsia="Arial MT" w:hAnsi="Arial" w:cs="Arial"/>
          <w:spacing w:val="-4"/>
        </w:rPr>
        <w:t xml:space="preserve"> </w:t>
      </w:r>
      <w:r w:rsidRPr="005F0E21">
        <w:rPr>
          <w:rFonts w:ascii="Arial" w:eastAsia="Arial MT" w:hAnsi="Arial" w:cs="Arial"/>
        </w:rPr>
        <w:t>causa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perjuicio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protección y</w:t>
      </w:r>
      <w:r w:rsidRPr="005F0E21">
        <w:rPr>
          <w:rFonts w:ascii="Arial" w:eastAsia="Arial MT" w:hAnsi="Arial" w:cs="Arial"/>
          <w:spacing w:val="-6"/>
        </w:rPr>
        <w:t xml:space="preserve"> </w:t>
      </w:r>
      <w:r w:rsidRPr="005F0E21">
        <w:rPr>
          <w:rFonts w:ascii="Arial" w:eastAsia="Arial MT" w:hAnsi="Arial" w:cs="Arial"/>
        </w:rPr>
        <w:t>restauración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biodiversidad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y los ecosistemas cuando va en gran medida en detrimento de las buenas condiciones y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 resiliencia de los ecosistemas, o va en detrimento del estado de conservación de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hábitats</w:t>
      </w:r>
      <w:r w:rsidRPr="005F0E21">
        <w:rPr>
          <w:rFonts w:ascii="Arial" w:eastAsia="Arial MT" w:hAnsi="Arial" w:cs="Arial"/>
          <w:spacing w:val="4"/>
        </w:rPr>
        <w:t xml:space="preserve"> </w:t>
      </w:r>
      <w:r w:rsidRPr="005F0E21">
        <w:rPr>
          <w:rFonts w:ascii="Arial" w:eastAsia="Arial MT" w:hAnsi="Arial" w:cs="Arial"/>
        </w:rPr>
        <w:t>y</w:t>
      </w:r>
      <w:r w:rsidRPr="005F0E21">
        <w:rPr>
          <w:rFonts w:ascii="Arial" w:eastAsia="Arial MT" w:hAnsi="Arial" w:cs="Arial"/>
          <w:spacing w:val="-5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especies,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2"/>
        </w:rPr>
        <w:t xml:space="preserve"> </w:t>
      </w:r>
      <w:r w:rsidRPr="005F0E21">
        <w:rPr>
          <w:rFonts w:ascii="Arial" w:eastAsia="Arial MT" w:hAnsi="Arial" w:cs="Arial"/>
        </w:rPr>
        <w:t>particular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aquellos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de interés para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Unión.</w:t>
      </w:r>
    </w:p>
    <w:p w:rsidR="005F0E21" w:rsidRPr="005F0E21" w:rsidRDefault="005F0E21" w:rsidP="005F0E21">
      <w:pPr>
        <w:tabs>
          <w:tab w:val="left" w:pos="669"/>
        </w:tabs>
        <w:spacing w:before="60" w:after="0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tabs>
          <w:tab w:val="left" w:pos="669"/>
        </w:tabs>
        <w:spacing w:before="60" w:after="0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7" w:after="0" w:line="237" w:lineRule="auto"/>
        <w:ind w:right="18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 xml:space="preserve">Señalar si las nuevas actividades de construcción se llevarán a cabo en o cerca de áreas sensibles para la biodiversidad. Señalar si las actividades pueden suponer un deterioro para el estado de conservación de hábitats y especies. En caso afirmativo, se requerirá el cumplimiento de los artículos 6 y 12 de la </w:t>
      </w:r>
      <w:hyperlink r:id="rId8">
        <w:r w:rsidRPr="005F0E21">
          <w:rPr>
            <w:rFonts w:ascii="Arial" w:eastAsia="Arial MT" w:hAnsi="Arial" w:cs="Arial"/>
          </w:rPr>
          <w:t xml:space="preserve">Directiva de hábitats </w:t>
        </w:r>
      </w:hyperlink>
      <w:r w:rsidRPr="005F0E21">
        <w:rPr>
          <w:rFonts w:ascii="Arial" w:eastAsia="Arial MT" w:hAnsi="Arial" w:cs="Arial"/>
        </w:rPr>
        <w:t xml:space="preserve">y el artículo 5 de la </w:t>
      </w:r>
      <w:hyperlink r:id="rId9">
        <w:r w:rsidRPr="005F0E21">
          <w:rPr>
            <w:rFonts w:ascii="Arial" w:eastAsia="Arial MT" w:hAnsi="Arial" w:cs="Arial"/>
          </w:rPr>
          <w:t>Directiva de aves</w:t>
        </w:r>
      </w:hyperlink>
      <w:r w:rsidRPr="005F0E21">
        <w:rPr>
          <w:rFonts w:ascii="Arial" w:eastAsia="Arial MT" w:hAnsi="Arial" w:cs="Arial"/>
        </w:rPr>
        <w:t>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4" w:after="0" w:line="235" w:lineRule="auto"/>
        <w:ind w:right="184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Señalar si se llevará a cabo una Evaluación de Impacto Ambiental (EIA) o un cribado, de acuerdo con la Directiva EIA.</w:t>
      </w:r>
    </w:p>
    <w:p w:rsidR="005F0E21" w:rsidRPr="005F0E21" w:rsidRDefault="005F0E21" w:rsidP="005F0E21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" w:after="0" w:line="240" w:lineRule="auto"/>
        <w:ind w:right="115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LA ENTIDAD SOLICITANTE NO DESARROLLA ACTIVIDADES EXCLUIDAS</w:t>
      </w:r>
      <w:r w:rsidRPr="005F0E21">
        <w:rPr>
          <w:rFonts w:ascii="Arial" w:eastAsia="Arial MT" w:hAnsi="Arial" w:cs="Arial"/>
          <w:b/>
        </w:rPr>
        <w:t xml:space="preserve"> </w:t>
      </w:r>
      <w:r w:rsidRPr="005F0E21">
        <w:rPr>
          <w:rFonts w:ascii="Arial" w:eastAsia="Arial MT" w:hAnsi="Arial" w:cs="Arial"/>
        </w:rPr>
        <w:t>según lo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indicado por la Guía técnica sobre la aplicación del principio de «no causar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significativo»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virtud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del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Reglamento</w:t>
      </w:r>
      <w:r w:rsidRPr="005F0E21">
        <w:rPr>
          <w:rFonts w:ascii="Arial" w:eastAsia="Arial MT" w:hAnsi="Arial" w:cs="Arial"/>
          <w:spacing w:val="-11"/>
        </w:rPr>
        <w:t xml:space="preserve"> </w:t>
      </w:r>
      <w:r w:rsidRPr="005F0E21">
        <w:rPr>
          <w:rFonts w:ascii="Arial" w:eastAsia="Arial MT" w:hAnsi="Arial" w:cs="Arial"/>
        </w:rPr>
        <w:t>relativo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al</w:t>
      </w:r>
      <w:r w:rsidRPr="005F0E21">
        <w:rPr>
          <w:rFonts w:ascii="Arial" w:eastAsia="Arial MT" w:hAnsi="Arial" w:cs="Arial"/>
          <w:spacing w:val="-11"/>
        </w:rPr>
        <w:t xml:space="preserve"> </w:t>
      </w:r>
      <w:r w:rsidRPr="005F0E21">
        <w:rPr>
          <w:rFonts w:ascii="Arial" w:eastAsia="Arial MT" w:hAnsi="Arial" w:cs="Arial"/>
        </w:rPr>
        <w:t>Mecanismo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Recuperación</w:t>
      </w:r>
      <w:r w:rsidRPr="005F0E21">
        <w:rPr>
          <w:rFonts w:ascii="Arial" w:eastAsia="Arial MT" w:hAnsi="Arial" w:cs="Arial"/>
          <w:spacing w:val="-6"/>
        </w:rPr>
        <w:t xml:space="preserve"> </w:t>
      </w:r>
      <w:r w:rsidRPr="005F0E21">
        <w:rPr>
          <w:rFonts w:ascii="Arial" w:eastAsia="Arial MT" w:hAnsi="Arial" w:cs="Arial"/>
        </w:rPr>
        <w:t>y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Resiliencia.</w:t>
      </w:r>
    </w:p>
    <w:p w:rsidR="005F0E21" w:rsidRPr="005F0E21" w:rsidRDefault="005F0E21" w:rsidP="005F0E21">
      <w:pPr>
        <w:widowControl w:val="0"/>
        <w:autoSpaceDE w:val="0"/>
        <w:autoSpaceDN w:val="0"/>
        <w:spacing w:before="3" w:after="0" w:line="240" w:lineRule="auto"/>
        <w:jc w:val="both"/>
        <w:rPr>
          <w:rFonts w:ascii="Arial MT" w:eastAsia="Arial MT" w:hAnsi="Arial MT" w:cs="Arial MT"/>
          <w:sz w:val="25"/>
          <w:szCs w:val="20"/>
        </w:rPr>
      </w:pPr>
    </w:p>
    <w:p w:rsidR="005F0E21" w:rsidRPr="005F0E21" w:rsidRDefault="005F0E21" w:rsidP="005F0E21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actividades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excluidas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son: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153" w:after="0" w:line="240" w:lineRule="auto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Refinerías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petróleo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3" w:after="0" w:line="240" w:lineRule="auto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Centrales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térmicas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4"/>
        </w:rPr>
        <w:t xml:space="preserve"> </w:t>
      </w:r>
      <w:r w:rsidRPr="005F0E21">
        <w:rPr>
          <w:rFonts w:ascii="Arial" w:eastAsia="Arial MT" w:hAnsi="Arial" w:cs="Arial"/>
          <w:i/>
        </w:rPr>
        <w:t>carbón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y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extracción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combustibles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fósiles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1" w:after="0" w:line="271" w:lineRule="auto"/>
        <w:ind w:right="124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Generación de electricidad y/o calor utilizando combustibles fósiles y relacionados con su</w:t>
      </w:r>
      <w:r w:rsidRPr="005F0E21">
        <w:rPr>
          <w:rFonts w:ascii="Arial" w:eastAsia="Arial MT" w:hAnsi="Arial" w:cs="Arial"/>
          <w:i/>
          <w:spacing w:val="-54"/>
        </w:rPr>
        <w:t xml:space="preserve"> </w:t>
      </w:r>
      <w:r w:rsidRPr="005F0E21">
        <w:rPr>
          <w:rFonts w:ascii="Arial" w:eastAsia="Arial MT" w:hAnsi="Arial" w:cs="Arial"/>
          <w:i/>
        </w:rPr>
        <w:t>infraestructura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transporte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y distribución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71" w:lineRule="auto"/>
        <w:ind w:right="126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Eliminación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desechos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(por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ejemplo,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nucleares,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que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puedan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causar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daños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largo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plazo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al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medioambiente)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40" w:lineRule="auto"/>
        <w:ind w:right="120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Inversiones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instalaciones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para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deposición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residuos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vertedero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o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inversiones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plantas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tratamiento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biológico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mecánico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(MBT)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que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impliquen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un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aumento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su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capacidad o de su vida útil (salvo plantas de tratamiento de residuos peligrosos no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reciclables)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58" w:after="0" w:line="273" w:lineRule="auto"/>
        <w:ind w:right="126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actividades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cubiertas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por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régimen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comercio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derechos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emisión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UE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(según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el Anexo I de la Ley 1/2005 de 9 de marzo, por la que se regula el régimen del comercio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derechos de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emisión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gases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efecto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invernadero.</w:t>
      </w:r>
    </w:p>
    <w:p w:rsidR="005F0E21" w:rsidRDefault="005F0E21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D558BB" w:rsidRDefault="00D558BB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D558BB" w:rsidRPr="005F0E21" w:rsidRDefault="00D558BB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before="133" w:after="0" w:line="278" w:lineRule="auto"/>
        <w:ind w:right="116"/>
        <w:jc w:val="both"/>
        <w:rPr>
          <w:rFonts w:ascii="Arial MT" w:eastAsia="Arial MT" w:hAnsi="Arial MT" w:cs="Arial MT"/>
          <w:b/>
          <w:sz w:val="20"/>
        </w:rPr>
      </w:pPr>
      <w:r w:rsidRPr="005F0E21">
        <w:rPr>
          <w:rFonts w:ascii="Arial" w:eastAsia="Times New Roman" w:hAnsi="Arial" w:cs="Times New Roman"/>
          <w:noProof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235F89" wp14:editId="6714B2A1">
                <wp:simplePos x="0" y="0"/>
                <wp:positionH relativeFrom="page">
                  <wp:posOffset>4829175</wp:posOffset>
                </wp:positionH>
                <wp:positionV relativeFrom="paragraph">
                  <wp:posOffset>556260</wp:posOffset>
                </wp:positionV>
                <wp:extent cx="45720" cy="139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01E7" id="Rectangle 2" o:spid="_x0000_s1026" style="position:absolute;margin-left:380.25pt;margin-top:43.8pt;width:3.6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cCcg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5SE9vXAVej+bBhgCdudf0m0NKL1vw4jfW6r7lhAGpLPgnFwfCwsFRtO4/aAbo&#10;ZOt1zNS+sV0AhBygfSzI06kgfO8Rhc1iPM2hahQs2ZtyGsuVkOp41Fjn33HdoTCpsQXiEZrs7p0P&#10;VEh1dInUtRRsJaSMC7tZL6VFOxKUEb/IHiI8d5MqOCsdjg2Iww4whDuCLXCNlf5RZnmR3ublaDWZ&#10;TUfFqhiPgPNslGblbTlJi7K4W/0MBLOiagVjXN0LxY+qy4qXVfWg/0EvUXeor3E5zscx9gv27mVB&#10;dsJDE0rR1Xh2ygSpQlXfKgZhk8oTIYd5ckk/ZhlycPzHrEQNhLIP8llr9gQSsBqKBOWE5wImrbbP&#10;GPXQejV237fEcozkewUyKrOiCL0aFwcJ2HPL+txCFAWoGnuMhunSD/29NVZsWrgpi4lR+gak14go&#10;jCDLgdVBsNBeMYLDUxD693wdvX4/WItfAAAA//8DAFBLAwQUAAYACAAAACEAWN18nd8AAAAJAQAA&#10;DwAAAGRycy9kb3ducmV2LnhtbEyPwU7DMAyG70i8Q2QkbixhYk1Xmk4MiSPSNjiwW9qYtlrjlCTb&#10;Ck+/cIKj7U+/v79cTXZgJ/Shd6TgfiaAITXO9NQqeH97ucuBhajJ6MERKvjGAKvq+qrUhXFn2uJp&#10;F1uWQigUWkEX41hwHpoOrQ4zNyKl26fzVsc0+pYbr88p3A58LkTGre4pfej0iM8dNofd0SpYL/P1&#10;1+aBXn+29R73H/VhMfdCqdub6ekRWMQp/sHwq5/UoUpOtTuSCWxQIDOxSKiCXGbAEiAzKYHVabHM&#10;gVcl/9+gugAAAP//AwBQSwECLQAUAAYACAAAACEAtoM4kv4AAADhAQAAEwAAAAAAAAAAAAAAAAAA&#10;AAAAW0NvbnRlbnRfVHlwZXNdLnhtbFBLAQItABQABgAIAAAAIQA4/SH/1gAAAJQBAAALAAAAAAAA&#10;AAAAAAAAAC8BAABfcmVscy8ucmVsc1BLAQItABQABgAIAAAAIQAc3HcCcgIAAPgEAAAOAAAAAAAA&#10;AAAAAAAAAC4CAABkcnMvZTJvRG9jLnhtbFBLAQItABQABgAIAAAAIQBY3Xyd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ENTIDAD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SOLICITANTE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NO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PREVÉ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EFECTOS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DIRECTOS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DEL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PROYECTO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ACTIVIDAD SOBRE EL MEDIO AMBIENTE, NI EFECTOS INDIRECTOS PRIMARIOS,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entendiendo como tales aquéllos que pudieran materializarse tras su finalización, una vez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realizado el proyecto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actividad</w:t>
      </w:r>
      <w:r w:rsidRPr="005F0E21">
        <w:rPr>
          <w:rFonts w:ascii="Arial MT" w:eastAsia="Arial MT" w:hAnsi="Arial MT" w:cs="Arial MT"/>
          <w:sz w:val="20"/>
        </w:rPr>
        <w:t>.</w:t>
      </w:r>
    </w:p>
    <w:p w:rsidR="005F0E21" w:rsidRPr="005F0E21" w:rsidRDefault="005F0E21" w:rsidP="005F0E21">
      <w:pPr>
        <w:widowControl w:val="0"/>
        <w:autoSpaceDE w:val="0"/>
        <w:autoSpaceDN w:val="0"/>
        <w:spacing w:before="5" w:after="0" w:line="240" w:lineRule="auto"/>
        <w:jc w:val="both"/>
        <w:rPr>
          <w:rFonts w:ascii="Arial MT" w:eastAsia="Arial MT" w:hAnsi="Arial MT" w:cs="Arial MT"/>
          <w:szCs w:val="20"/>
        </w:rPr>
      </w:pPr>
    </w:p>
    <w:p w:rsidR="005F0E21" w:rsidRPr="005F0E21" w:rsidRDefault="005F0E21" w:rsidP="005F0E21">
      <w:pPr>
        <w:widowControl w:val="0"/>
        <w:autoSpaceDE w:val="0"/>
        <w:autoSpaceDN w:val="0"/>
        <w:spacing w:after="0"/>
        <w:ind w:left="102" w:right="120"/>
        <w:jc w:val="both"/>
        <w:rPr>
          <w:rFonts w:ascii="Arial MT" w:eastAsia="Arial MT" w:hAnsi="Arial MT" w:cs="Arial MT"/>
          <w:sz w:val="20"/>
          <w:szCs w:val="20"/>
        </w:rPr>
      </w:pPr>
      <w:r w:rsidRPr="005F0E21">
        <w:rPr>
          <w:rFonts w:ascii="Arial" w:eastAsia="Arial MT" w:hAnsi="Arial" w:cs="Arial"/>
        </w:rPr>
        <w:t>El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incumplimiento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alguno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los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requisitos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establecido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presente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declaración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dará,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previo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el oportuno procedimiento de reintegro, a la obligación de devolver las ayudas percibidas y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intereses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demora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correspondientes</w:t>
      </w:r>
      <w:r w:rsidRPr="005F0E21">
        <w:rPr>
          <w:rFonts w:ascii="Arial MT" w:eastAsia="Arial MT" w:hAnsi="Arial MT" w:cs="Arial MT"/>
          <w:sz w:val="20"/>
          <w:szCs w:val="20"/>
        </w:rPr>
        <w:t>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sobre lucha contra el fraude (OLAF)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Asimismo, concede de manera expresa la autorización prevista en el artículo 22.2.e), del Reglamento (UE) 2021/241, del Parlamento Europeo y del Consejo, de 12 de febrero de 2021).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both"/>
        <w:rPr>
          <w:rFonts w:ascii="Arial" w:eastAsia="Times New Roman" w:hAnsi="Arial" w:cs="Times New Roman"/>
          <w:sz w:val="18"/>
          <w:szCs w:val="20"/>
          <w:lang w:val="es-ES_tradnl" w:eastAsia="es-ES"/>
        </w:rPr>
      </w:pPr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center"/>
        <w:rPr>
          <w:rFonts w:ascii="Arial" w:eastAsia="Times New Roman" w:hAnsi="Arial" w:cs="Times New Roman"/>
          <w:lang w:val="es-ES_tradnl"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En,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5"/>
      <w:r>
        <w:rPr>
          <w:rFonts w:ascii="Arial" w:eastAsia="Times New Roman" w:hAnsi="Arial" w:cs="Times New Roman"/>
          <w:lang w:val="es-ES_tradnl" w:eastAsia="es-ES"/>
        </w:rPr>
        <w:t xml:space="preserve"> </w:t>
      </w:r>
      <w:r w:rsidRPr="005F0E21">
        <w:rPr>
          <w:rFonts w:ascii="Arial" w:eastAsia="Times New Roman" w:hAnsi="Arial" w:cs="Times New Roman"/>
          <w:lang w:val="es-ES_tradnl" w:eastAsia="es-ES"/>
        </w:rPr>
        <w:t>a.</w:t>
      </w: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center"/>
        <w:rPr>
          <w:rFonts w:ascii="Arial" w:eastAsia="Times New Roman" w:hAnsi="Arial" w:cs="Times New Roman"/>
          <w:lang w:val="es-ES_tradnl"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Firmado: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6"/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center"/>
        <w:rPr>
          <w:rFonts w:ascii="Arial" w:eastAsia="Times New Roman" w:hAnsi="Arial" w:cs="Times New Roman"/>
          <w:lang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Cargo: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7"/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Calibri" w:hAnsi="Arial" w:cs="Arial"/>
          <w:b/>
          <w:bCs/>
          <w:kern w:val="2"/>
          <w:u w:val="single"/>
        </w:rPr>
      </w:pPr>
      <w:r w:rsidRPr="005F0E21">
        <w:rPr>
          <w:rFonts w:ascii="Arial" w:eastAsia="Times New Roman" w:hAnsi="Arial" w:cs="Times New Roman"/>
          <w:szCs w:val="24"/>
          <w:lang w:eastAsia="es-ES"/>
        </w:rPr>
        <w:br w:type="page"/>
      </w:r>
    </w:p>
    <w:p w:rsidR="006964A8" w:rsidRDefault="00740473"/>
    <w:sectPr w:rsidR="006964A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21" w:rsidRDefault="005F0E21" w:rsidP="005F0E21">
      <w:pPr>
        <w:spacing w:after="0" w:line="240" w:lineRule="auto"/>
      </w:pPr>
      <w:r>
        <w:separator/>
      </w:r>
    </w:p>
  </w:endnote>
  <w:endnote w:type="continuationSeparator" w:id="0">
    <w:p w:rsidR="005F0E21" w:rsidRDefault="005F0E21" w:rsidP="005F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21" w:rsidRDefault="005F0E21" w:rsidP="005F0E21">
      <w:pPr>
        <w:spacing w:after="0" w:line="240" w:lineRule="auto"/>
      </w:pPr>
      <w:r>
        <w:separator/>
      </w:r>
    </w:p>
  </w:footnote>
  <w:footnote w:type="continuationSeparator" w:id="0">
    <w:p w:rsidR="005F0E21" w:rsidRDefault="005F0E21" w:rsidP="005F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21" w:rsidRDefault="005F0E21">
    <w:pPr>
      <w:pStyle w:val="Encabezado"/>
    </w:pPr>
    <w:r w:rsidRPr="005F0E21">
      <w:rPr>
        <w:rFonts w:ascii="Arial" w:eastAsia="Times New Roman" w:hAnsi="Arial" w:cs="Times New Roman"/>
        <w:noProof/>
        <w:szCs w:val="24"/>
        <w:lang w:eastAsia="es-ES"/>
      </w:rPr>
      <w:drawing>
        <wp:inline distT="0" distB="0" distL="0" distR="0" wp14:anchorId="0ADDDE5A" wp14:editId="7CA7D6C4">
          <wp:extent cx="5400040" cy="995855"/>
          <wp:effectExtent l="0" t="0" r="0" b="0"/>
          <wp:docPr id="1" name="Imagen 1" descr="Logos Next 23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Next 23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98E"/>
    <w:multiLevelType w:val="hybridMultilevel"/>
    <w:tmpl w:val="8FD43F22"/>
    <w:lvl w:ilvl="0" w:tplc="8108AF94">
      <w:start w:val="1"/>
      <w:numFmt w:val="decimal"/>
      <w:lvlText w:val="%1."/>
      <w:lvlJc w:val="left"/>
      <w:pPr>
        <w:ind w:left="462" w:hanging="360"/>
      </w:pPr>
      <w:rPr>
        <w:rFonts w:hint="default"/>
        <w:spacing w:val="-1"/>
        <w:w w:val="99"/>
        <w:lang w:val="es-ES" w:eastAsia="en-US" w:bidi="ar-SA"/>
      </w:rPr>
    </w:lvl>
    <w:lvl w:ilvl="1" w:tplc="69EA9464">
      <w:start w:val="1"/>
      <w:numFmt w:val="lowerLetter"/>
      <w:lvlText w:val="%2)"/>
      <w:lvlJc w:val="left"/>
      <w:pPr>
        <w:ind w:left="668" w:hanging="356"/>
      </w:pPr>
      <w:rPr>
        <w:rFonts w:hint="default"/>
        <w:spacing w:val="-1"/>
        <w:w w:val="99"/>
        <w:lang w:val="es-ES" w:eastAsia="en-US" w:bidi="ar-SA"/>
      </w:rPr>
    </w:lvl>
    <w:lvl w:ilvl="2" w:tplc="2C1A54D0">
      <w:numFmt w:val="bullet"/>
      <w:lvlText w:val="•"/>
      <w:lvlJc w:val="left"/>
      <w:pPr>
        <w:ind w:left="1555" w:hanging="356"/>
      </w:pPr>
      <w:rPr>
        <w:rFonts w:hint="default"/>
        <w:lang w:val="es-ES" w:eastAsia="en-US" w:bidi="ar-SA"/>
      </w:rPr>
    </w:lvl>
    <w:lvl w:ilvl="3" w:tplc="041CDFEC">
      <w:numFmt w:val="bullet"/>
      <w:lvlText w:val="•"/>
      <w:lvlJc w:val="left"/>
      <w:pPr>
        <w:ind w:left="2450" w:hanging="356"/>
      </w:pPr>
      <w:rPr>
        <w:rFonts w:hint="default"/>
        <w:lang w:val="es-ES" w:eastAsia="en-US" w:bidi="ar-SA"/>
      </w:rPr>
    </w:lvl>
    <w:lvl w:ilvl="4" w:tplc="22FECA30">
      <w:numFmt w:val="bullet"/>
      <w:lvlText w:val="•"/>
      <w:lvlJc w:val="left"/>
      <w:pPr>
        <w:ind w:left="3346" w:hanging="356"/>
      </w:pPr>
      <w:rPr>
        <w:rFonts w:hint="default"/>
        <w:lang w:val="es-ES" w:eastAsia="en-US" w:bidi="ar-SA"/>
      </w:rPr>
    </w:lvl>
    <w:lvl w:ilvl="5" w:tplc="48961070">
      <w:numFmt w:val="bullet"/>
      <w:lvlText w:val="•"/>
      <w:lvlJc w:val="left"/>
      <w:pPr>
        <w:ind w:left="4241" w:hanging="356"/>
      </w:pPr>
      <w:rPr>
        <w:rFonts w:hint="default"/>
        <w:lang w:val="es-ES" w:eastAsia="en-US" w:bidi="ar-SA"/>
      </w:rPr>
    </w:lvl>
    <w:lvl w:ilvl="6" w:tplc="E94E1980">
      <w:numFmt w:val="bullet"/>
      <w:lvlText w:val="•"/>
      <w:lvlJc w:val="left"/>
      <w:pPr>
        <w:ind w:left="5137" w:hanging="356"/>
      </w:pPr>
      <w:rPr>
        <w:rFonts w:hint="default"/>
        <w:lang w:val="es-ES" w:eastAsia="en-US" w:bidi="ar-SA"/>
      </w:rPr>
    </w:lvl>
    <w:lvl w:ilvl="7" w:tplc="8DDA4CD4">
      <w:numFmt w:val="bullet"/>
      <w:lvlText w:val="•"/>
      <w:lvlJc w:val="left"/>
      <w:pPr>
        <w:ind w:left="6032" w:hanging="356"/>
      </w:pPr>
      <w:rPr>
        <w:rFonts w:hint="default"/>
        <w:lang w:val="es-ES" w:eastAsia="en-US" w:bidi="ar-SA"/>
      </w:rPr>
    </w:lvl>
    <w:lvl w:ilvl="8" w:tplc="F2E045FE">
      <w:numFmt w:val="bullet"/>
      <w:lvlText w:val="•"/>
      <w:lvlJc w:val="left"/>
      <w:pPr>
        <w:ind w:left="6928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1B094D0A"/>
    <w:multiLevelType w:val="hybridMultilevel"/>
    <w:tmpl w:val="5E509A66"/>
    <w:lvl w:ilvl="0" w:tplc="EB885A2A">
      <w:numFmt w:val="bullet"/>
      <w:lvlText w:val=""/>
      <w:lvlJc w:val="left"/>
      <w:pPr>
        <w:ind w:left="668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A200F62">
      <w:numFmt w:val="bullet"/>
      <w:lvlText w:val="•"/>
      <w:lvlJc w:val="left"/>
      <w:pPr>
        <w:ind w:left="1465" w:hanging="356"/>
      </w:pPr>
      <w:rPr>
        <w:rFonts w:hint="default"/>
        <w:lang w:val="es-ES" w:eastAsia="en-US" w:bidi="ar-SA"/>
      </w:rPr>
    </w:lvl>
    <w:lvl w:ilvl="2" w:tplc="9EAEFED4">
      <w:numFmt w:val="bullet"/>
      <w:lvlText w:val="•"/>
      <w:lvlJc w:val="left"/>
      <w:pPr>
        <w:ind w:left="2271" w:hanging="356"/>
      </w:pPr>
      <w:rPr>
        <w:rFonts w:hint="default"/>
        <w:lang w:val="es-ES" w:eastAsia="en-US" w:bidi="ar-SA"/>
      </w:rPr>
    </w:lvl>
    <w:lvl w:ilvl="3" w:tplc="BAA24E2A">
      <w:numFmt w:val="bullet"/>
      <w:lvlText w:val="•"/>
      <w:lvlJc w:val="left"/>
      <w:pPr>
        <w:ind w:left="3077" w:hanging="356"/>
      </w:pPr>
      <w:rPr>
        <w:rFonts w:hint="default"/>
        <w:lang w:val="es-ES" w:eastAsia="en-US" w:bidi="ar-SA"/>
      </w:rPr>
    </w:lvl>
    <w:lvl w:ilvl="4" w:tplc="EF22AB88">
      <w:numFmt w:val="bullet"/>
      <w:lvlText w:val="•"/>
      <w:lvlJc w:val="left"/>
      <w:pPr>
        <w:ind w:left="3883" w:hanging="356"/>
      </w:pPr>
      <w:rPr>
        <w:rFonts w:hint="default"/>
        <w:lang w:val="es-ES" w:eastAsia="en-US" w:bidi="ar-SA"/>
      </w:rPr>
    </w:lvl>
    <w:lvl w:ilvl="5" w:tplc="EA8235E8">
      <w:numFmt w:val="bullet"/>
      <w:lvlText w:val="•"/>
      <w:lvlJc w:val="left"/>
      <w:pPr>
        <w:ind w:left="4689" w:hanging="356"/>
      </w:pPr>
      <w:rPr>
        <w:rFonts w:hint="default"/>
        <w:lang w:val="es-ES" w:eastAsia="en-US" w:bidi="ar-SA"/>
      </w:rPr>
    </w:lvl>
    <w:lvl w:ilvl="6" w:tplc="5DF29D2A">
      <w:numFmt w:val="bullet"/>
      <w:lvlText w:val="•"/>
      <w:lvlJc w:val="left"/>
      <w:pPr>
        <w:ind w:left="5495" w:hanging="356"/>
      </w:pPr>
      <w:rPr>
        <w:rFonts w:hint="default"/>
        <w:lang w:val="es-ES" w:eastAsia="en-US" w:bidi="ar-SA"/>
      </w:rPr>
    </w:lvl>
    <w:lvl w:ilvl="7" w:tplc="ECAC19BA">
      <w:numFmt w:val="bullet"/>
      <w:lvlText w:val="•"/>
      <w:lvlJc w:val="left"/>
      <w:pPr>
        <w:ind w:left="6301" w:hanging="356"/>
      </w:pPr>
      <w:rPr>
        <w:rFonts w:hint="default"/>
        <w:lang w:val="es-ES" w:eastAsia="en-US" w:bidi="ar-SA"/>
      </w:rPr>
    </w:lvl>
    <w:lvl w:ilvl="8" w:tplc="64662C6A">
      <w:numFmt w:val="bullet"/>
      <w:lvlText w:val="•"/>
      <w:lvlJc w:val="left"/>
      <w:pPr>
        <w:ind w:left="7107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1DE053C6"/>
    <w:multiLevelType w:val="hybridMultilevel"/>
    <w:tmpl w:val="96BE6AF6"/>
    <w:lvl w:ilvl="0" w:tplc="C9229C26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594F"/>
    <w:multiLevelType w:val="hybridMultilevel"/>
    <w:tmpl w:val="D318FC9C"/>
    <w:lvl w:ilvl="0" w:tplc="B5A27E28">
      <w:start w:val="1"/>
      <w:numFmt w:val="decimal"/>
      <w:lvlText w:val="%1."/>
      <w:lvlJc w:val="left"/>
      <w:pPr>
        <w:ind w:left="167" w:hanging="273"/>
      </w:pPr>
      <w:rPr>
        <w:rFonts w:hint="default"/>
        <w:b/>
        <w:bCs/>
        <w:w w:val="74"/>
        <w:lang w:val="es-ES" w:eastAsia="en-US" w:bidi="ar-SA"/>
      </w:rPr>
    </w:lvl>
    <w:lvl w:ilvl="1" w:tplc="53881576">
      <w:numFmt w:val="bullet"/>
      <w:lvlText w:val="•"/>
      <w:lvlJc w:val="left"/>
      <w:pPr>
        <w:ind w:left="961" w:hanging="227"/>
      </w:pPr>
      <w:rPr>
        <w:rFonts w:ascii="Microsoft Sans Serif" w:eastAsia="Microsoft Sans Serif" w:hAnsi="Microsoft Sans Serif" w:cs="Microsoft Sans Serif" w:hint="default"/>
        <w:w w:val="142"/>
        <w:sz w:val="24"/>
        <w:szCs w:val="24"/>
        <w:lang w:val="es-ES" w:eastAsia="en-US" w:bidi="ar-SA"/>
      </w:rPr>
    </w:lvl>
    <w:lvl w:ilvl="2" w:tplc="CD6405D2">
      <w:numFmt w:val="bullet"/>
      <w:lvlText w:val="-"/>
      <w:lvlJc w:val="left"/>
      <w:pPr>
        <w:ind w:left="1473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B1A8FA40">
      <w:numFmt w:val="bullet"/>
      <w:lvlText w:val="•"/>
      <w:lvlJc w:val="left"/>
      <w:pPr>
        <w:ind w:left="1480" w:hanging="227"/>
      </w:pPr>
      <w:rPr>
        <w:rFonts w:hint="default"/>
        <w:lang w:val="es-ES" w:eastAsia="en-US" w:bidi="ar-SA"/>
      </w:rPr>
    </w:lvl>
    <w:lvl w:ilvl="4" w:tplc="26E0ECA8">
      <w:numFmt w:val="bullet"/>
      <w:lvlText w:val="•"/>
      <w:lvlJc w:val="left"/>
      <w:pPr>
        <w:ind w:left="2663" w:hanging="227"/>
      </w:pPr>
      <w:rPr>
        <w:rFonts w:hint="default"/>
        <w:lang w:val="es-ES" w:eastAsia="en-US" w:bidi="ar-SA"/>
      </w:rPr>
    </w:lvl>
    <w:lvl w:ilvl="5" w:tplc="708AEC70">
      <w:numFmt w:val="bullet"/>
      <w:lvlText w:val="•"/>
      <w:lvlJc w:val="left"/>
      <w:pPr>
        <w:ind w:left="3847" w:hanging="227"/>
      </w:pPr>
      <w:rPr>
        <w:rFonts w:hint="default"/>
        <w:lang w:val="es-ES" w:eastAsia="en-US" w:bidi="ar-SA"/>
      </w:rPr>
    </w:lvl>
    <w:lvl w:ilvl="6" w:tplc="11AA105E">
      <w:numFmt w:val="bullet"/>
      <w:lvlText w:val="•"/>
      <w:lvlJc w:val="left"/>
      <w:pPr>
        <w:ind w:left="5030" w:hanging="227"/>
      </w:pPr>
      <w:rPr>
        <w:rFonts w:hint="default"/>
        <w:lang w:val="es-ES" w:eastAsia="en-US" w:bidi="ar-SA"/>
      </w:rPr>
    </w:lvl>
    <w:lvl w:ilvl="7" w:tplc="438267A6">
      <w:numFmt w:val="bullet"/>
      <w:lvlText w:val="•"/>
      <w:lvlJc w:val="left"/>
      <w:pPr>
        <w:ind w:left="6214" w:hanging="227"/>
      </w:pPr>
      <w:rPr>
        <w:rFonts w:hint="default"/>
        <w:lang w:val="es-ES" w:eastAsia="en-US" w:bidi="ar-SA"/>
      </w:rPr>
    </w:lvl>
    <w:lvl w:ilvl="8" w:tplc="CB98FB9C">
      <w:numFmt w:val="bullet"/>
      <w:lvlText w:val="•"/>
      <w:lvlJc w:val="left"/>
      <w:pPr>
        <w:ind w:left="7398" w:hanging="22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60"/>
    <w:rsid w:val="00350D60"/>
    <w:rsid w:val="005F0E21"/>
    <w:rsid w:val="00740473"/>
    <w:rsid w:val="007552A6"/>
    <w:rsid w:val="00790DFC"/>
    <w:rsid w:val="007F231E"/>
    <w:rsid w:val="008B14D9"/>
    <w:rsid w:val="00A90923"/>
    <w:rsid w:val="00C96AEA"/>
    <w:rsid w:val="00D558BB"/>
    <w:rsid w:val="00F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5D2E3-8EEC-4DD1-9777-0A7BDEF1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E21"/>
  </w:style>
  <w:style w:type="paragraph" w:styleId="Piedepgina">
    <w:name w:val="footer"/>
    <w:basedOn w:val="Normal"/>
    <w:link w:val="PiedepginaCar"/>
    <w:uiPriority w:val="99"/>
    <w:unhideWhenUsed/>
    <w:rsid w:val="005F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ALL/?uri=celex%3A31992L0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ALL/?uri=CELEX%3A32000D05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S/TXT/?uri=CELEX%3A32009L01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2342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 Sola, Carmen (Turismo)</dc:creator>
  <cp:keywords/>
  <dc:description/>
  <cp:lastModifiedBy>Garde Sola, Carmen (Turismo)</cp:lastModifiedBy>
  <cp:revision>8</cp:revision>
  <dcterms:created xsi:type="dcterms:W3CDTF">2025-03-12T11:49:00Z</dcterms:created>
  <dcterms:modified xsi:type="dcterms:W3CDTF">2025-04-25T10:24:00Z</dcterms:modified>
</cp:coreProperties>
</file>