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5A" w:rsidRPr="006C055A" w:rsidRDefault="006C055A" w:rsidP="006C055A">
      <w:pPr>
        <w:spacing w:after="160" w:line="259" w:lineRule="auto"/>
        <w:jc w:val="center"/>
        <w:rPr>
          <w:rFonts w:ascii="Arial" w:eastAsia="Calibri" w:hAnsi="Arial" w:cs="Arial"/>
          <w:b/>
          <w:bCs/>
          <w:kern w:val="2"/>
        </w:rPr>
      </w:pPr>
      <w:r w:rsidRPr="006C055A">
        <w:rPr>
          <w:rFonts w:ascii="Arial" w:eastAsia="Calibri" w:hAnsi="Arial" w:cs="Arial"/>
          <w:b/>
          <w:bCs/>
          <w:kern w:val="2"/>
        </w:rPr>
        <w:t>ANEXO III</w:t>
      </w:r>
    </w:p>
    <w:p w:rsidR="006C055A" w:rsidRPr="000B1B58" w:rsidRDefault="006C055A" w:rsidP="000B1B58">
      <w:pPr>
        <w:spacing w:after="160" w:line="259" w:lineRule="auto"/>
        <w:jc w:val="center"/>
        <w:rPr>
          <w:rFonts w:ascii="Arial" w:eastAsia="Calibri" w:hAnsi="Arial" w:cs="Arial"/>
          <w:b/>
          <w:bCs/>
          <w:kern w:val="2"/>
        </w:rPr>
      </w:pPr>
      <w:r w:rsidRPr="006C055A">
        <w:rPr>
          <w:rFonts w:ascii="Arial" w:eastAsia="Calibri" w:hAnsi="Arial" w:cs="Arial"/>
          <w:b/>
          <w:bCs/>
          <w:kern w:val="2"/>
        </w:rPr>
        <w:t>REQUISITOS Y OBLIGACIONES ESPECÍFICOS MRR</w:t>
      </w:r>
    </w:p>
    <w:p w:rsidR="006C055A" w:rsidRPr="006C055A" w:rsidRDefault="006C055A" w:rsidP="006C055A">
      <w:pPr>
        <w:autoSpaceDE w:val="0"/>
        <w:autoSpaceDN w:val="0"/>
        <w:adjustRightInd w:val="0"/>
        <w:spacing w:after="160" w:line="259" w:lineRule="auto"/>
        <w:jc w:val="both"/>
        <w:rPr>
          <w:rFonts w:ascii="Arial" w:eastAsia="Calibri" w:hAnsi="Arial" w:cs="Arial"/>
          <w:kern w:val="2"/>
        </w:rPr>
      </w:pPr>
      <w:r w:rsidRPr="006C055A">
        <w:rPr>
          <w:rFonts w:ascii="Arial" w:eastAsia="Calibri" w:hAnsi="Arial" w:cs="Arial"/>
          <w:kern w:val="2"/>
        </w:rPr>
        <w:t xml:space="preserve">Las entidades beneficiarias de subvenciones financiadas por el MRR deberán cumplir las obligaciones, europeas y nacionales, relativas a la financiación del Mecanismo de Recuperación y Resiliencia de la Unión Europea. A tal efecto, deberán atenerse a lo siguiente: </w:t>
      </w: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Se someterán a las actuaciones de control de las instituciones de la Unión, en virtud del artículo 22.2.e) del Reglamento (UE) 2021/241 del Parlamento Europeo y del Consejo de 12 de febrero. A tal efecto los solicitantes deberán cumplimentar y presentar junto con la solicitud el modelo del Anexo II de esta Orden foral.</w:t>
      </w:r>
    </w:p>
    <w:p w:rsidR="006C055A" w:rsidRPr="006C055A" w:rsidRDefault="006C055A" w:rsidP="006C055A">
      <w:pPr>
        <w:autoSpaceDE w:val="0"/>
        <w:autoSpaceDN w:val="0"/>
        <w:adjustRightInd w:val="0"/>
        <w:spacing w:after="0" w:line="240" w:lineRule="auto"/>
        <w:ind w:left="1068"/>
        <w:jc w:val="both"/>
        <w:rPr>
          <w:rFonts w:ascii="Arial" w:eastAsia="Calibri" w:hAnsi="Arial" w:cs="Arial"/>
          <w:kern w:val="2"/>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Deberán someterse a cualesquiera otras actuaciones de comprobación y control financiero que pueda realizar el Departamento de Cultura, Deporte y Turismo, la Secretaría General de Fondos Europeos, la Intervención General de la Administración del Estado, el Tribunal de Cuentas, los órganos de control y fiscalización de la Comisión Europea y a cualesquiera otras actuaciones de comprobación y/o control financiero que puedan realizar los órganos o autoridades de control competentes, tanto nacionales como de la Unión Europea, de acuerdo a lo establecido en la normativa aplicable a la gestión de las ayudas cofinanciadas con fondos europeos, aportando para ello cuanta información le sea requerida y cooperando plenamente en la protección de los intereses financieros tanto nacionales como de la Unión Europea, concediendo los derechos y el acceso necesarios a tales órganos o autoridades.</w:t>
      </w:r>
    </w:p>
    <w:p w:rsidR="006C055A" w:rsidRPr="006C055A" w:rsidRDefault="006C055A" w:rsidP="006C055A">
      <w:pPr>
        <w:autoSpaceDE w:val="0"/>
        <w:autoSpaceDN w:val="0"/>
        <w:adjustRightInd w:val="0"/>
        <w:spacing w:after="0" w:line="240" w:lineRule="auto"/>
        <w:jc w:val="both"/>
        <w:rPr>
          <w:rFonts w:ascii="Arial" w:eastAsia="Calibri" w:hAnsi="Arial" w:cs="Arial"/>
          <w:kern w:val="2"/>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Quedarán comprometidas, expresamente, con la aceptación de la ayuda correspondiente, a cumplir las instrucciones que tanto el Departamento de Cultura, Deporte y Turismo como cualquier órgano o autoridad competente les dirija en aplicación de cualquier normativa, tanto europea como nacional, que pudiera aprobarse para la ejecución o gestión tanto del Mecanismo de Recuperación y Resiliencia como del Plan de Recuperación, Transformación y Resiliencia.</w:t>
      </w:r>
      <w:r w:rsidRPr="006C055A">
        <w:rPr>
          <w:rFonts w:ascii="Calibri" w:eastAsia="Calibri" w:hAnsi="Calibri" w:cs="Times New Roman"/>
        </w:rPr>
        <w:t xml:space="preserve"> </w:t>
      </w:r>
      <w:r w:rsidRPr="006C055A">
        <w:rPr>
          <w:rFonts w:ascii="Arial" w:eastAsia="Calibri" w:hAnsi="Arial" w:cs="Arial"/>
        </w:rPr>
        <w:t xml:space="preserve">A tal efecto, recabarán, a efectos de auditoría y control del uso de los fondos y en formato electrónico, las categorías armonizadas de datos contempladas en el artículo 22.2.d) del Reglamento (UE) 2021/241 del Parlamento Europeo y del Consejo de 12 de febrero. </w:t>
      </w:r>
    </w:p>
    <w:p w:rsidR="006C055A" w:rsidRPr="006C055A" w:rsidRDefault="006C055A" w:rsidP="006C055A">
      <w:pPr>
        <w:autoSpaceDE w:val="0"/>
        <w:autoSpaceDN w:val="0"/>
        <w:adjustRightInd w:val="0"/>
        <w:spacing w:after="0" w:line="240" w:lineRule="auto"/>
        <w:ind w:left="1068"/>
        <w:jc w:val="both"/>
        <w:rPr>
          <w:rFonts w:ascii="Arial" w:eastAsia="Calibri" w:hAnsi="Arial" w:cs="Arial"/>
          <w:kern w:val="2"/>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En cumplimiento de lo dispuesto en el apartado 2 del artículo 22 del Reglamento (UE) 2021/241 del Parlamento europeo y del Consejo de 12 de febrero, y con el artículo 8.1</w:t>
      </w:r>
      <w:r w:rsidRPr="006C055A">
        <w:rPr>
          <w:rFonts w:ascii="Arial" w:eastAsia="Calibri" w:hAnsi="Arial" w:cs="Arial"/>
          <w:i/>
        </w:rPr>
        <w:t xml:space="preserve"> </w:t>
      </w:r>
      <w:r w:rsidRPr="006C055A">
        <w:rPr>
          <w:rFonts w:ascii="Arial" w:eastAsia="Calibri" w:hAnsi="Arial" w:cs="Arial"/>
        </w:rPr>
        <w:t>de la Orden HPF/1030/2021, de 29 de septiembre, los beneficiarios deberán suministrar a la Dirección General de Turismo, a efectos de auditoría y control del uso de fondos en relación con las medidas destinadas a la ejecución de reformas y proyectos de inversión en el marco del plan de recuperación y resiliencia, la información de los datos sobre el perceptor final de los fondos, cuando no sea el mismo, y de los contratistas en el caso de que el perceptor final sea un poder adjudicador. Esta información deberá estar disponible conforme al artículo 10 de la Orden HFP/1031/2021, de 29 de septiembre.</w:t>
      </w:r>
    </w:p>
    <w:p w:rsidR="006C055A" w:rsidRPr="006C055A" w:rsidRDefault="006C055A" w:rsidP="006C055A">
      <w:pPr>
        <w:autoSpaceDE w:val="0"/>
        <w:autoSpaceDN w:val="0"/>
        <w:adjustRightInd w:val="0"/>
        <w:spacing w:after="0" w:line="240" w:lineRule="auto"/>
        <w:ind w:left="1068"/>
        <w:jc w:val="both"/>
        <w:rPr>
          <w:rFonts w:ascii="Arial" w:eastAsia="Calibri" w:hAnsi="Arial" w:cs="Arial"/>
          <w:kern w:val="2"/>
        </w:rPr>
      </w:pPr>
    </w:p>
    <w:p w:rsidR="006C055A" w:rsidRPr="000B1B58"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 xml:space="preserve">Serán responsables de la fiabilidad y el seguimiento de la ejecución de las actuaciones subvencionadas, de manera que pueda conocerse en todo momento el nivel de consecución de cada actuación y de los hitos y objetivos que se hayan establecido al respecto. </w:t>
      </w: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lastRenderedPageBreak/>
        <w:t xml:space="preserve">Deberán establecer mecanismos que aseguren que las actuaciones a desarrollar por terceros contribuyen al logro de las actuaciones previstas y que dichos terceros aporten la información que, en su caso, fuera necesaria para determinar el valor de los indicadores de seguimiento del Plan de Recuperación, Transformación y Resiliencia. </w:t>
      </w:r>
    </w:p>
    <w:p w:rsidR="006C055A" w:rsidRPr="006C055A" w:rsidRDefault="006C055A" w:rsidP="006C055A">
      <w:pPr>
        <w:spacing w:after="160" w:line="259" w:lineRule="auto"/>
        <w:ind w:left="720"/>
        <w:contextualSpacing/>
        <w:jc w:val="both"/>
        <w:rPr>
          <w:rFonts w:ascii="Arial" w:eastAsia="Calibri" w:hAnsi="Arial" w:cs="Arial"/>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 xml:space="preserve">Asumirán el mantenimiento de una adecuada pista de auditoría de las actuaciones realizadas en el marco de esta subvención, y la obligación de mantenimiento de la documentación soporte. El suministro de la información se realizará en los términos que establezca el Ministerio de Hacienda y Función Pública de conformidad con la normativa nacional y de la Unión Europea. </w:t>
      </w:r>
    </w:p>
    <w:p w:rsidR="006C055A" w:rsidRPr="006C055A" w:rsidRDefault="006C055A" w:rsidP="006C055A">
      <w:pPr>
        <w:spacing w:after="160" w:line="259" w:lineRule="auto"/>
        <w:ind w:left="720"/>
        <w:contextualSpacing/>
        <w:jc w:val="both"/>
        <w:rPr>
          <w:rFonts w:ascii="Arial" w:eastAsia="Calibri" w:hAnsi="Arial" w:cs="Arial"/>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 xml:space="preserve">Garantizarán el pleno cumplimiento del principio de «no causar un perjuicio significativo al medio ambiente» (principio do no significant harm - DNSH) y el etiquetado climático y digital, de acuerdo con lo previsto en el Plan de Recuperación, Transformación y Resiliencia, aprobado por Consejo de Ministros el 27 de abril de 2021, por el Reglamento (UE) nº 2021/241 del Parlamento Europeo y del Consejo, de 12 de febrero de 2021, por el que se establece el Mecanismo de Recuperación y Resiliencia, en el artículo 17 del Reglamento (UE) 2020/852 del Parlamento Europeo y del Consejo de 18 de junio de 2020 relativo al establecimiento de un marco para facilitar las inversiones sostenibles y por el que se modifica el Reglamento (UE) 2019/2088 dando cumplimiento a la Guía técnica (2021/C 58/01) sobre la aplicación del principio de «no causar un perjuicio significativo», con lo dispuesto en el artículo 5 de la Orden HFP/1030/2021, de 29 de septiembre, a las condiciones específicas previstas en el componente 14 y especialmente las recogidas en los apartados 3 y 8 del documento del Componente del Plan en relación con la inversión en la que se enmarca, así como con lo requerido en la Decisión de Ejecución del Consejo relativa a la aprobación de la evaluación del plan de recuperación y resiliencia de España.” Todos los proyectos objeto de la ayuda en todas las fases del diseño, ejecución y justificación de los proyectos y de manera individual para cada actuación, deberán respetar el principio de «no causar un perjuicio significativo al medio ambiente». </w:t>
      </w:r>
    </w:p>
    <w:p w:rsidR="006C055A" w:rsidRPr="006C055A" w:rsidRDefault="006C055A" w:rsidP="006C055A">
      <w:pPr>
        <w:spacing w:after="160" w:line="259" w:lineRule="auto"/>
        <w:ind w:left="720"/>
        <w:contextualSpacing/>
        <w:jc w:val="both"/>
        <w:rPr>
          <w:rFonts w:ascii="Arial" w:eastAsia="Calibri" w:hAnsi="Arial" w:cs="Arial"/>
        </w:rPr>
      </w:pPr>
    </w:p>
    <w:p w:rsidR="006C055A" w:rsidRPr="006C055A" w:rsidRDefault="006C055A" w:rsidP="006C055A">
      <w:pPr>
        <w:numPr>
          <w:ilvl w:val="0"/>
          <w:numId w:val="1"/>
        </w:numPr>
        <w:spacing w:after="160" w:line="259" w:lineRule="auto"/>
        <w:contextualSpacing/>
        <w:jc w:val="both"/>
        <w:rPr>
          <w:rFonts w:ascii="Arial" w:eastAsia="Calibri" w:hAnsi="Arial" w:cs="Arial"/>
        </w:rPr>
      </w:pPr>
      <w:r w:rsidRPr="006C055A">
        <w:rPr>
          <w:rFonts w:ascii="Arial" w:eastAsia="Calibri" w:hAnsi="Arial" w:cs="Arial"/>
        </w:rPr>
        <w:t>En caso de que la entidad beneficiaria de la ayuda contrate o subcontrate parte o la totalidad de la actividad objeto de esta subvención, habrá de prever los mecanismos para asegurar que los contratistas y subcontratistas cumplan con los principios de “no causar un perjuicio significativo al medio ambiente” y de identificación del perceptor final de los fondos.</w:t>
      </w:r>
    </w:p>
    <w:p w:rsidR="006C055A" w:rsidRPr="006C055A" w:rsidRDefault="006C055A" w:rsidP="006C055A">
      <w:pPr>
        <w:spacing w:after="160" w:line="259" w:lineRule="auto"/>
        <w:ind w:left="360"/>
        <w:contextualSpacing/>
        <w:jc w:val="both"/>
        <w:rPr>
          <w:rFonts w:ascii="Arial" w:eastAsia="Calibri" w:hAnsi="Arial" w:cs="Arial"/>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kern w:val="2"/>
        </w:rPr>
        <w:t xml:space="preserve">Tendrán la obligación de asegurar la regularidad del gasto subyacente y de la adopción de medidas dirigidas a prevenir, detectar, comunicar y corregir el fraude y la corrupción, prevenir el conflicto de interés y la doble financiación en los procedimientos utilizados para la ejecución de los proyectos, de acuerdo a los artículos 6 y 7 de la orden HFP/1030/2021, de 29 de septiembre. </w:t>
      </w:r>
    </w:p>
    <w:p w:rsidR="006C055A" w:rsidRPr="006C055A" w:rsidRDefault="006C055A" w:rsidP="006C055A">
      <w:pPr>
        <w:autoSpaceDE w:val="0"/>
        <w:autoSpaceDN w:val="0"/>
        <w:adjustRightInd w:val="0"/>
        <w:spacing w:after="160" w:line="259" w:lineRule="auto"/>
        <w:ind w:left="360"/>
        <w:contextualSpacing/>
        <w:jc w:val="both"/>
        <w:rPr>
          <w:rFonts w:ascii="Arial" w:eastAsia="Calibri" w:hAnsi="Arial" w:cs="Arial"/>
        </w:rPr>
      </w:pPr>
    </w:p>
    <w:p w:rsidR="006C055A" w:rsidRPr="006C055A" w:rsidRDefault="006C055A" w:rsidP="006C055A">
      <w:pPr>
        <w:numPr>
          <w:ilvl w:val="0"/>
          <w:numId w:val="1"/>
        </w:numPr>
        <w:autoSpaceDE w:val="0"/>
        <w:autoSpaceDN w:val="0"/>
        <w:adjustRightInd w:val="0"/>
        <w:spacing w:after="160" w:line="300" w:lineRule="atLeast"/>
        <w:contextualSpacing/>
        <w:jc w:val="both"/>
        <w:rPr>
          <w:rFonts w:ascii="Arial" w:eastAsia="Calibri" w:hAnsi="Arial" w:cs="Arial"/>
        </w:rPr>
      </w:pPr>
      <w:r w:rsidRPr="006C055A">
        <w:rPr>
          <w:rFonts w:ascii="Arial" w:eastAsia="Calibri" w:hAnsi="Arial" w:cs="Arial"/>
        </w:rPr>
        <w:t xml:space="preserve">Custodiarán y conservarán la documentación de la actividad financiada por el Mecanismo de Recuperación y Resiliencia de conformidad con el artículo 132 del Reglamento (UE, Euratom) 2018/1046 del Parlamento Europeo y del Consejo, de 18 de julio de 2018, sobre las normas financieras aplicables al presupuesto general de la Unión. En este sentido, los perceptores de la ayuda deberán conservar los documentos justificativos y demás </w:t>
      </w:r>
      <w:r w:rsidRPr="006C055A">
        <w:rPr>
          <w:rFonts w:ascii="Arial" w:eastAsia="Calibri" w:hAnsi="Arial" w:cs="Arial"/>
        </w:rPr>
        <w:lastRenderedPageBreak/>
        <w:t xml:space="preserve">documentación concerniente a la financiación, en formato electrónico, durante un período de cinco años a partir del pago del saldo final. Este período será de tres años si la financiación no supera los 60.000 euros. </w:t>
      </w:r>
    </w:p>
    <w:p w:rsidR="006C055A" w:rsidRPr="006C055A" w:rsidRDefault="006C055A" w:rsidP="006C055A">
      <w:pPr>
        <w:spacing w:after="160" w:line="259" w:lineRule="auto"/>
        <w:ind w:left="720"/>
        <w:contextualSpacing/>
        <w:jc w:val="both"/>
        <w:rPr>
          <w:rFonts w:ascii="Arial" w:eastAsia="Calibri" w:hAnsi="Arial" w:cs="Arial"/>
        </w:rPr>
      </w:pPr>
    </w:p>
    <w:p w:rsidR="006C055A" w:rsidRPr="006C055A" w:rsidRDefault="006C055A" w:rsidP="006C055A">
      <w:pPr>
        <w:numPr>
          <w:ilvl w:val="0"/>
          <w:numId w:val="1"/>
        </w:numPr>
        <w:autoSpaceDE w:val="0"/>
        <w:autoSpaceDN w:val="0"/>
        <w:adjustRightInd w:val="0"/>
        <w:spacing w:after="160" w:line="259" w:lineRule="auto"/>
        <w:contextualSpacing/>
        <w:jc w:val="both"/>
        <w:rPr>
          <w:rFonts w:ascii="Arial" w:eastAsia="Calibri" w:hAnsi="Arial" w:cs="Arial"/>
        </w:rPr>
      </w:pPr>
      <w:r w:rsidRPr="006C055A">
        <w:rPr>
          <w:rFonts w:ascii="Arial" w:eastAsia="Calibri" w:hAnsi="Arial" w:cs="Arial"/>
        </w:rPr>
        <w:t xml:space="preserve">En aquellas actuaciones que contemplen obras, los beneficiarios garantizarán, en función de las características de estas, que no se perjudique a ninguno de los seis objetivos medioambientales definidos en dicho reglamento y se comprometerán a que: </w:t>
      </w:r>
    </w:p>
    <w:p w:rsidR="006C055A" w:rsidRPr="006C055A" w:rsidRDefault="006C055A" w:rsidP="006C055A">
      <w:pPr>
        <w:autoSpaceDE w:val="0"/>
        <w:autoSpaceDN w:val="0"/>
        <w:adjustRightInd w:val="0"/>
        <w:spacing w:after="160" w:line="259" w:lineRule="auto"/>
        <w:ind w:left="1134"/>
        <w:jc w:val="both"/>
        <w:rPr>
          <w:rFonts w:ascii="Arial" w:eastAsia="Calibri" w:hAnsi="Arial" w:cs="Arial"/>
          <w:kern w:val="2"/>
        </w:rPr>
      </w:pPr>
      <w:r w:rsidRPr="006C055A">
        <w:rPr>
          <w:rFonts w:ascii="Arial" w:eastAsia="Calibri" w:hAnsi="Arial" w:cs="Arial"/>
          <w:kern w:val="2"/>
        </w:rPr>
        <w:t xml:space="preserve">1º. Al menos el 70 % (en peso) de los residuos de construcción y demolición generados en los proyectos de infraestructura (con exclusión de los residuos con código LER 17 05 04), se preparen para la reutilización, el reciclaje y la revalorización de otros materiales, incluidas las operaciones de relleno utilizando residuos para sustituir otros materiales de acuerdo con la jerarquía de residuos y el Protocolo de gestión de residuos de construcción y demolición de la UE. </w:t>
      </w:r>
    </w:p>
    <w:p w:rsidR="006C055A" w:rsidRPr="006C055A" w:rsidRDefault="006C055A" w:rsidP="006C055A">
      <w:pPr>
        <w:autoSpaceDE w:val="0"/>
        <w:autoSpaceDN w:val="0"/>
        <w:adjustRightInd w:val="0"/>
        <w:spacing w:after="160" w:line="259" w:lineRule="auto"/>
        <w:ind w:left="1134"/>
        <w:jc w:val="both"/>
        <w:rPr>
          <w:rFonts w:ascii="Arial" w:eastAsia="Calibri" w:hAnsi="Arial" w:cs="Arial"/>
          <w:kern w:val="2"/>
        </w:rPr>
      </w:pPr>
      <w:r w:rsidRPr="006C055A">
        <w:rPr>
          <w:rFonts w:ascii="Arial" w:eastAsia="Calibri" w:hAnsi="Arial" w:cs="Arial"/>
          <w:kern w:val="2"/>
        </w:rPr>
        <w:t xml:space="preserve">2º. Los operadores limiten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w:t>
      </w:r>
    </w:p>
    <w:p w:rsidR="006C055A" w:rsidRPr="006C055A" w:rsidRDefault="006C055A" w:rsidP="006C055A">
      <w:pPr>
        <w:autoSpaceDE w:val="0"/>
        <w:autoSpaceDN w:val="0"/>
        <w:adjustRightInd w:val="0"/>
        <w:spacing w:after="160" w:line="259" w:lineRule="auto"/>
        <w:ind w:left="1134"/>
        <w:jc w:val="both"/>
        <w:rPr>
          <w:rFonts w:ascii="Arial" w:eastAsia="Calibri" w:hAnsi="Arial" w:cs="Arial"/>
          <w:kern w:val="2"/>
        </w:rPr>
      </w:pPr>
      <w:r w:rsidRPr="006C055A">
        <w:rPr>
          <w:rFonts w:ascii="Arial" w:eastAsia="Calibri" w:hAnsi="Arial" w:cs="Arial"/>
          <w:kern w:val="2"/>
        </w:rPr>
        <w:t xml:space="preserve">3º. Los diseños de los edificios y las técnicas de construcción apoyen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 utilizando los sistemas de clasificación disponibles para residuos de construcción y demolición. </w:t>
      </w:r>
    </w:p>
    <w:p w:rsidR="006C055A" w:rsidRPr="006C055A" w:rsidRDefault="006C055A" w:rsidP="006C055A">
      <w:pPr>
        <w:autoSpaceDE w:val="0"/>
        <w:autoSpaceDN w:val="0"/>
        <w:adjustRightInd w:val="0"/>
        <w:spacing w:after="160" w:line="259" w:lineRule="auto"/>
        <w:ind w:left="1134"/>
        <w:jc w:val="both"/>
        <w:rPr>
          <w:rFonts w:ascii="Calibri" w:eastAsia="Calibri" w:hAnsi="Calibri" w:cs="Times New Roman"/>
          <w:kern w:val="2"/>
          <w:sz w:val="20"/>
          <w:szCs w:val="20"/>
        </w:rPr>
      </w:pPr>
      <w:r w:rsidRPr="006C055A">
        <w:rPr>
          <w:rFonts w:ascii="Arial" w:eastAsia="Calibri" w:hAnsi="Arial" w:cs="Arial"/>
          <w:kern w:val="2"/>
        </w:rPr>
        <w:t>4º. Los componentes y materiales de construcción utilizados en el desarrollo de las actuaciones previstas en esta medida no contengan amianto ni sustancias muy preocupantes identificadas a partir de la lista de sustancias sujetas a autorización que figura en el anexo XIV del Reglamento (CE) 1907/2006. 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6C055A" w:rsidRPr="006C055A" w:rsidRDefault="004F528C" w:rsidP="006C055A">
      <w:pPr>
        <w:autoSpaceDE w:val="0"/>
        <w:autoSpaceDN w:val="0"/>
        <w:adjustRightInd w:val="0"/>
        <w:spacing w:after="160" w:line="259" w:lineRule="auto"/>
        <w:ind w:left="1134"/>
        <w:jc w:val="both"/>
        <w:rPr>
          <w:rFonts w:ascii="Arial" w:eastAsia="Calibri" w:hAnsi="Arial" w:cs="Arial"/>
          <w:kern w:val="2"/>
        </w:rPr>
      </w:pPr>
      <w:r>
        <w:rPr>
          <w:rFonts w:ascii="Arial" w:eastAsia="Calibri" w:hAnsi="Arial" w:cs="Arial"/>
          <w:kern w:val="2"/>
        </w:rPr>
        <w:t>5</w:t>
      </w:r>
      <w:r w:rsidR="006C055A" w:rsidRPr="006C055A">
        <w:rPr>
          <w:rFonts w:ascii="Arial" w:eastAsia="Calibri" w:hAnsi="Arial" w:cs="Arial"/>
          <w:kern w:val="2"/>
        </w:rPr>
        <w:t>º Si las inversiones implican alguna demolición, se deberá practicar una demolición selectiva.</w:t>
      </w:r>
    </w:p>
    <w:p w:rsidR="006C055A" w:rsidRPr="006C055A" w:rsidRDefault="004F528C" w:rsidP="006C055A">
      <w:pPr>
        <w:autoSpaceDE w:val="0"/>
        <w:autoSpaceDN w:val="0"/>
        <w:adjustRightInd w:val="0"/>
        <w:spacing w:after="160" w:line="259" w:lineRule="auto"/>
        <w:ind w:left="1134"/>
        <w:jc w:val="both"/>
        <w:rPr>
          <w:rFonts w:ascii="Arial" w:eastAsia="Calibri" w:hAnsi="Arial" w:cs="Arial"/>
          <w:kern w:val="2"/>
        </w:rPr>
      </w:pPr>
      <w:r>
        <w:rPr>
          <w:rFonts w:ascii="Arial" w:eastAsia="Calibri" w:hAnsi="Arial" w:cs="Arial"/>
          <w:kern w:val="2"/>
        </w:rPr>
        <w:t>6</w:t>
      </w:r>
      <w:r w:rsidR="006C055A" w:rsidRPr="006C055A">
        <w:rPr>
          <w:rFonts w:ascii="Arial" w:eastAsia="Calibri" w:hAnsi="Arial" w:cs="Arial"/>
          <w:kern w:val="2"/>
        </w:rPr>
        <w:t xml:space="preserve">º Cuando las actuaciones de rehabilitación tengan lugar en áreas sensibles a la biodiversidad (incluida la red Natura 2000 de áreas protegidas, sitios del Patrimonio </w:t>
      </w:r>
      <w:r w:rsidR="006C055A" w:rsidRPr="006C055A">
        <w:rPr>
          <w:rFonts w:ascii="Arial" w:eastAsia="Calibri" w:hAnsi="Arial" w:cs="Arial"/>
          <w:kern w:val="2"/>
        </w:rPr>
        <w:lastRenderedPageBreak/>
        <w:t>Mundial de la UNESCO y áreas clave para la biodiversidad, así como otras áreas protegidas) o en áreas próximas, se requerirá el cumplimiento de los artículos 6 (3) y 12 de la Directiva de hábitats y el artículo 5 de la Directiva de aves. Además, cuando sea preceptivo, se llevará a cabo una Evaluación de Impacto Ambiental (EIA) de acuerdo con la Directiva EIA</w:t>
      </w:r>
    </w:p>
    <w:p w:rsidR="006C055A" w:rsidRPr="006C055A" w:rsidRDefault="004F528C" w:rsidP="006C055A">
      <w:pPr>
        <w:autoSpaceDE w:val="0"/>
        <w:autoSpaceDN w:val="0"/>
        <w:adjustRightInd w:val="0"/>
        <w:spacing w:after="160" w:line="259" w:lineRule="auto"/>
        <w:ind w:left="1134"/>
        <w:jc w:val="both"/>
        <w:rPr>
          <w:rFonts w:ascii="Arial" w:eastAsia="Calibri" w:hAnsi="Arial" w:cs="Arial"/>
          <w:kern w:val="2"/>
        </w:rPr>
      </w:pPr>
      <w:r>
        <w:rPr>
          <w:rFonts w:ascii="Arial" w:eastAsia="Calibri" w:hAnsi="Arial" w:cs="Arial"/>
          <w:kern w:val="2"/>
        </w:rPr>
        <w:t>7</w:t>
      </w:r>
      <w:r w:rsidR="006C055A" w:rsidRPr="006C055A">
        <w:rPr>
          <w:rFonts w:ascii="Arial" w:eastAsia="Calibri" w:hAnsi="Arial" w:cs="Arial"/>
          <w:kern w:val="2"/>
        </w:rPr>
        <w:t>º En la rehabilitación de edificios se tendrá en consideración las directrices recogidas en la Directiva (UE) 2018/844 relativa a la eficacia energética de los edificios de cara a que sean edificios de consumo de energía casi nulo, permitiendo reducir de forma significativa el consumo de energía primaria no renovable.</w:t>
      </w:r>
    </w:p>
    <w:p w:rsidR="006C055A" w:rsidRPr="006C055A" w:rsidRDefault="004F528C" w:rsidP="006C055A">
      <w:pPr>
        <w:autoSpaceDE w:val="0"/>
        <w:autoSpaceDN w:val="0"/>
        <w:adjustRightInd w:val="0"/>
        <w:spacing w:after="160" w:line="259" w:lineRule="auto"/>
        <w:ind w:left="1134"/>
        <w:jc w:val="both"/>
        <w:rPr>
          <w:rFonts w:ascii="Arial" w:eastAsia="Calibri" w:hAnsi="Arial" w:cs="Arial"/>
          <w:kern w:val="2"/>
        </w:rPr>
      </w:pPr>
      <w:r>
        <w:rPr>
          <w:rFonts w:ascii="Arial" w:eastAsia="Calibri" w:hAnsi="Arial" w:cs="Arial"/>
          <w:kern w:val="2"/>
        </w:rPr>
        <w:t>8</w:t>
      </w:r>
      <w:bookmarkStart w:id="0" w:name="_GoBack"/>
      <w:bookmarkEnd w:id="0"/>
      <w:r w:rsidR="006C055A" w:rsidRPr="006C055A">
        <w:rPr>
          <w:rFonts w:ascii="Arial" w:eastAsia="Calibri" w:hAnsi="Arial" w:cs="Arial"/>
          <w:kern w:val="2"/>
        </w:rPr>
        <w:t>º Las medidas de rehabilitación permitirán contribuir a la adaptación de los edificios al cambio climático, adoptando las soluciones de adaptación que sean posibles en el marco de las opciones que permita la edificación existente y su protección en caso de que sean edificios protegidos, como la utilización de cubiertas vegetales, toldos, zonas de sombreado…</w:t>
      </w:r>
    </w:p>
    <w:p w:rsidR="006C055A" w:rsidRPr="006C055A" w:rsidRDefault="006C055A" w:rsidP="006C055A">
      <w:pPr>
        <w:numPr>
          <w:ilvl w:val="0"/>
          <w:numId w:val="1"/>
        </w:numPr>
        <w:autoSpaceDE w:val="0"/>
        <w:autoSpaceDN w:val="0"/>
        <w:adjustRightInd w:val="0"/>
        <w:spacing w:after="160" w:line="240" w:lineRule="auto"/>
        <w:contextualSpacing/>
        <w:jc w:val="both"/>
        <w:rPr>
          <w:rFonts w:ascii="Arial" w:eastAsia="Calibri" w:hAnsi="Arial" w:cs="Arial"/>
        </w:rPr>
      </w:pPr>
      <w:r w:rsidRPr="006C055A">
        <w:rPr>
          <w:rFonts w:ascii="Arial" w:eastAsia="Calibri" w:hAnsi="Arial" w:cs="Arial"/>
        </w:rPr>
        <w:t xml:space="preserve">Obligaciones de comunicación: los beneficiarios deben cumplir con las obligaciones en materia de información, comunicación y publicidad contempladas en el artículo 34 del Reglamento (UE) 2021/241, relativo al Mecanismo de Recuperación y Resiliencia, sobre la financiación de la Unión Europea de las medidas incluidas en el Plan de Recuperación, Transformación y Resiliencia y en el artículo 9 de la Orden HFP/1030/2021, de 29 de septiembre. En particular, en las medidas de información y comunicación de las actuaciones (carteles informativos, placas, publicaciones impresas y electrónicas, material audiovisual, páginas web, anuncios e inserciones en prensa, certificados, etc.), se deberán incluir los siguientes logos: </w:t>
      </w:r>
    </w:p>
    <w:p w:rsidR="006C055A" w:rsidRPr="006C055A" w:rsidRDefault="006C055A" w:rsidP="006C055A">
      <w:pPr>
        <w:spacing w:before="100" w:beforeAutospacing="1" w:after="100" w:afterAutospacing="1"/>
        <w:ind w:left="1416"/>
        <w:contextualSpacing/>
        <w:jc w:val="both"/>
        <w:rPr>
          <w:rFonts w:ascii="Arial" w:eastAsia="Times New Roman" w:hAnsi="Arial" w:cs="Arial"/>
          <w:color w:val="0000FF"/>
          <w:u w:val="single"/>
          <w:lang w:eastAsia="es-ES"/>
        </w:rPr>
      </w:pPr>
      <w:r w:rsidRPr="006C055A">
        <w:rPr>
          <w:rFonts w:ascii="Arial" w:eastAsia="Times New Roman" w:hAnsi="Arial" w:cs="Arial"/>
          <w:lang w:eastAsia="es-ES"/>
        </w:rPr>
        <w:t xml:space="preserve">1º. El emblema de la Unión Europea junto con el texto «Financiado por la Unión Europea-Next Generation EU». Se tendrán en cuenta las normas gráficas y los colores normalizados recogidos en el “Manual de marca del PRTR”, que se puede consultar en la siguiente página web: </w:t>
      </w:r>
      <w:hyperlink r:id="rId7" w:history="1">
        <w:r w:rsidRPr="006C055A">
          <w:rPr>
            <w:rFonts w:ascii="Arial" w:eastAsia="Times New Roman" w:hAnsi="Arial" w:cs="Arial"/>
            <w:color w:val="0000FF"/>
            <w:u w:val="single"/>
            <w:lang w:eastAsia="es-ES"/>
          </w:rPr>
          <w:t>Identidad visual | Plan de Recuperación, Transformación y Resiliencia Gobierno de España. (https://planderecuperacion.gob.es)</w:t>
        </w:r>
      </w:hyperlink>
    </w:p>
    <w:p w:rsidR="006C055A" w:rsidRPr="006C055A" w:rsidRDefault="006C055A" w:rsidP="006C055A">
      <w:pPr>
        <w:spacing w:before="100" w:beforeAutospacing="1" w:after="100" w:afterAutospacing="1"/>
        <w:ind w:left="1416"/>
        <w:contextualSpacing/>
        <w:jc w:val="both"/>
        <w:rPr>
          <w:rFonts w:ascii="Arial" w:eastAsia="Times New Roman" w:hAnsi="Arial" w:cs="Arial"/>
          <w:lang w:eastAsia="es-ES"/>
        </w:rPr>
      </w:pPr>
      <w:r w:rsidRPr="006C055A">
        <w:rPr>
          <w:rFonts w:ascii="Arial" w:eastAsia="Times New Roman" w:hAnsi="Arial" w:cs="Arial"/>
          <w:lang w:eastAsia="es-ES"/>
        </w:rPr>
        <w:t xml:space="preserve">2º. El logo oficial del Ministerio de Industria y Turismo del Gobierno de España disponible en el enlace </w:t>
      </w:r>
      <w:hyperlink r:id="rId8" w:history="1">
        <w:r w:rsidRPr="006C055A">
          <w:rPr>
            <w:rFonts w:ascii="Arial" w:eastAsia="Times New Roman" w:hAnsi="Arial" w:cs="Arial"/>
            <w:color w:val="0000FF"/>
            <w:u w:val="single"/>
            <w:lang w:eastAsia="es-ES"/>
          </w:rPr>
          <w:t>https://www.mintur.gob.es/es-es/servicios/paginas/imageninstitucional.aspx</w:t>
        </w:r>
      </w:hyperlink>
    </w:p>
    <w:p w:rsidR="006C055A" w:rsidRPr="006C055A" w:rsidRDefault="006C055A" w:rsidP="006C055A">
      <w:pPr>
        <w:spacing w:before="100" w:beforeAutospacing="1" w:after="100" w:afterAutospacing="1"/>
        <w:ind w:left="1416"/>
        <w:contextualSpacing/>
        <w:jc w:val="both"/>
        <w:rPr>
          <w:rFonts w:ascii="Arial" w:eastAsia="Times New Roman" w:hAnsi="Arial" w:cs="Arial"/>
          <w:lang w:eastAsia="es-ES"/>
        </w:rPr>
      </w:pPr>
      <w:r w:rsidRPr="006C055A">
        <w:rPr>
          <w:rFonts w:ascii="Arial" w:eastAsia="Times New Roman" w:hAnsi="Arial" w:cs="Arial"/>
          <w:lang w:eastAsia="es-ES"/>
        </w:rPr>
        <w:t xml:space="preserve">3º. El logo del Plan de Recuperación Transformación y Resiliencia disponible en el enlace </w:t>
      </w:r>
      <w:hyperlink r:id="rId9" w:history="1">
        <w:r w:rsidRPr="006C055A">
          <w:rPr>
            <w:rFonts w:ascii="Arial" w:eastAsia="Times New Roman" w:hAnsi="Arial" w:cs="Arial"/>
            <w:color w:val="0000FF"/>
            <w:u w:val="single"/>
            <w:lang w:eastAsia="es-ES"/>
          </w:rPr>
          <w:t>https://planderecuperacion.gob.es/identidad-visual</w:t>
        </w:r>
      </w:hyperlink>
    </w:p>
    <w:p w:rsidR="006C055A" w:rsidRPr="000B1B58" w:rsidRDefault="006C055A" w:rsidP="000B1B58">
      <w:pPr>
        <w:spacing w:before="100" w:beforeAutospacing="1" w:after="100" w:afterAutospacing="1"/>
        <w:ind w:left="1416"/>
        <w:contextualSpacing/>
        <w:jc w:val="both"/>
        <w:rPr>
          <w:rFonts w:ascii="Arial" w:eastAsia="Times New Roman" w:hAnsi="Arial" w:cs="Arial"/>
          <w:lang w:eastAsia="es-ES"/>
        </w:rPr>
      </w:pPr>
      <w:r w:rsidRPr="006C055A">
        <w:rPr>
          <w:rFonts w:ascii="Arial" w:eastAsia="Times New Roman" w:hAnsi="Arial" w:cs="Arial"/>
          <w:lang w:eastAsia="es-ES"/>
        </w:rPr>
        <w:t xml:space="preserve">4º. El logo oficial del Gobierno de Navarra (con la agenda 2030) disponible en el link </w:t>
      </w:r>
      <w:hyperlink r:id="rId10" w:history="1">
        <w:r w:rsidRPr="006C055A">
          <w:rPr>
            <w:rFonts w:ascii="Arial" w:eastAsia="Times New Roman" w:hAnsi="Arial" w:cs="Arial"/>
            <w:color w:val="0000FF"/>
            <w:u w:val="single"/>
            <w:lang w:eastAsia="es-ES"/>
          </w:rPr>
          <w:t>https://www.navarra.es/es/gobierno-de-navarra/simbolo-oficial</w:t>
        </w:r>
      </w:hyperlink>
      <w:r w:rsidRPr="006C055A">
        <w:rPr>
          <w:rFonts w:ascii="Arial" w:eastAsia="Times New Roman" w:hAnsi="Arial" w:cs="Arial"/>
          <w:lang w:eastAsia="es-ES"/>
        </w:rPr>
        <w:t xml:space="preserve">.    </w:t>
      </w:r>
    </w:p>
    <w:p w:rsidR="006C055A" w:rsidRPr="006C055A" w:rsidRDefault="006C055A" w:rsidP="006C055A">
      <w:pPr>
        <w:autoSpaceDE w:val="0"/>
        <w:autoSpaceDN w:val="0"/>
        <w:adjustRightInd w:val="0"/>
        <w:spacing w:after="160"/>
        <w:contextualSpacing/>
        <w:jc w:val="both"/>
        <w:rPr>
          <w:rFonts w:ascii="Arial" w:eastAsia="Calibri" w:hAnsi="Arial" w:cs="Arial"/>
        </w:rPr>
      </w:pPr>
    </w:p>
    <w:p w:rsidR="006C055A" w:rsidRPr="006C055A" w:rsidRDefault="006C055A" w:rsidP="006C055A">
      <w:pPr>
        <w:autoSpaceDE w:val="0"/>
        <w:autoSpaceDN w:val="0"/>
        <w:adjustRightInd w:val="0"/>
        <w:spacing w:after="160"/>
        <w:ind w:left="720"/>
        <w:jc w:val="both"/>
        <w:rPr>
          <w:rFonts w:ascii="Arial" w:eastAsia="Calibri" w:hAnsi="Arial" w:cs="Arial"/>
          <w:kern w:val="2"/>
        </w:rPr>
      </w:pPr>
      <w:r w:rsidRPr="006C055A">
        <w:rPr>
          <w:rFonts w:ascii="Arial" w:eastAsia="Calibri" w:hAnsi="Arial" w:cs="Arial"/>
          <w:kern w:val="2"/>
        </w:rPr>
        <w:t>Todos los carteles informativos y placas deberán colocarse en un lugar bien visible y de acceso al público</w:t>
      </w:r>
    </w:p>
    <w:p w:rsidR="006C055A" w:rsidRPr="006C055A" w:rsidRDefault="006C055A" w:rsidP="006C055A">
      <w:pPr>
        <w:numPr>
          <w:ilvl w:val="0"/>
          <w:numId w:val="1"/>
        </w:numPr>
        <w:autoSpaceDE w:val="0"/>
        <w:autoSpaceDN w:val="0"/>
        <w:adjustRightInd w:val="0"/>
        <w:spacing w:after="160" w:line="300" w:lineRule="atLeast"/>
        <w:contextualSpacing/>
        <w:jc w:val="both"/>
        <w:rPr>
          <w:rFonts w:ascii="Arial" w:eastAsia="Calibri" w:hAnsi="Arial" w:cs="Arial"/>
        </w:rPr>
      </w:pPr>
      <w:r w:rsidRPr="006C055A">
        <w:rPr>
          <w:rFonts w:ascii="Arial" w:eastAsia="Calibri" w:hAnsi="Arial" w:cs="Arial"/>
        </w:rPr>
        <w:t>La beneficiaria queda sometida a la totalidad de disposiciones comunitarias sobre el MRR, de acuerdo con la normativa que la Administración de la Comunidad Foral de Navarra y el Gobierno de España aprueben a este respecto.</w:t>
      </w:r>
    </w:p>
    <w:p w:rsidR="006964A8" w:rsidRDefault="00370FD6"/>
    <w:sectPr w:rsidR="006964A8" w:rsidSect="00F36995">
      <w:headerReference w:type="default" r:id="rId11"/>
      <w:footerReference w:type="default" r:id="rId12"/>
      <w:pgSz w:w="11906" w:h="16838" w:code="9"/>
      <w:pgMar w:top="2268" w:right="851" w:bottom="1418"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C9D" w:rsidRDefault="000B1B58">
      <w:pPr>
        <w:spacing w:after="0" w:line="240" w:lineRule="auto"/>
      </w:pPr>
      <w:r>
        <w:separator/>
      </w:r>
    </w:p>
  </w:endnote>
  <w:endnote w:type="continuationSeparator" w:id="0">
    <w:p w:rsidR="007D2C9D" w:rsidRDefault="000B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F3333F" w:rsidTr="006470EE">
      <w:tc>
        <w:tcPr>
          <w:tcW w:w="8222" w:type="dxa"/>
        </w:tcPr>
        <w:p w:rsidR="00F3333F" w:rsidRPr="007C2738" w:rsidRDefault="006C055A" w:rsidP="00B6487B">
          <w:pPr>
            <w:pStyle w:val="Piedepgina"/>
            <w:tabs>
              <w:tab w:val="clear" w:pos="4252"/>
              <w:tab w:val="center" w:pos="5101"/>
            </w:tabs>
            <w:rPr>
              <w:rFonts w:cs="Arial"/>
              <w:sz w:val="14"/>
              <w:szCs w:val="14"/>
            </w:rPr>
          </w:pPr>
          <w:r w:rsidRPr="001E788F">
            <w:rPr>
              <w:rFonts w:cs="Arial"/>
              <w:szCs w:val="22"/>
            </w:rPr>
            <w:tab/>
          </w:r>
          <w:r w:rsidRPr="007C2738">
            <w:rPr>
              <w:rFonts w:cs="Arial"/>
              <w:sz w:val="14"/>
              <w:szCs w:val="14"/>
            </w:rPr>
            <w:t xml:space="preserve">Pág..: </w:t>
          </w:r>
          <w:r w:rsidRPr="00067EDE">
            <w:fldChar w:fldCharType="begin"/>
          </w:r>
          <w:r>
            <w:instrText xml:space="preserve"> PAGE  \* MERGEFORMAT </w:instrText>
          </w:r>
          <w:r w:rsidRPr="00067EDE">
            <w:fldChar w:fldCharType="separate"/>
          </w:r>
          <w:r w:rsidR="00370FD6" w:rsidRPr="00370FD6">
            <w:rPr>
              <w:rFonts w:cs="Arial"/>
              <w:noProof/>
              <w:sz w:val="14"/>
              <w:szCs w:val="14"/>
            </w:rPr>
            <w:t>4</w:t>
          </w:r>
          <w:r w:rsidRPr="00067EDE">
            <w:rPr>
              <w:rFonts w:cs="Arial"/>
              <w:noProof/>
              <w:sz w:val="14"/>
              <w:szCs w:val="14"/>
            </w:rPr>
            <w:fldChar w:fldCharType="end"/>
          </w:r>
          <w:r w:rsidRPr="007C2738">
            <w:rPr>
              <w:rFonts w:cs="Arial"/>
              <w:sz w:val="14"/>
              <w:szCs w:val="14"/>
            </w:rPr>
            <w:t>/</w:t>
          </w:r>
          <w:r w:rsidR="00370FD6">
            <w:fldChar w:fldCharType="begin"/>
          </w:r>
          <w:r w:rsidR="00370FD6">
            <w:instrText xml:space="preserve"> NUMPAGES  \* MERGEFORMAT </w:instrText>
          </w:r>
          <w:r w:rsidR="00370FD6">
            <w:fldChar w:fldCharType="separate"/>
          </w:r>
          <w:r w:rsidR="00370FD6" w:rsidRPr="00370FD6">
            <w:rPr>
              <w:rFonts w:cs="Arial"/>
              <w:noProof/>
              <w:sz w:val="14"/>
              <w:szCs w:val="14"/>
            </w:rPr>
            <w:t>4</w:t>
          </w:r>
          <w:r w:rsidR="00370FD6">
            <w:rPr>
              <w:rFonts w:cs="Arial"/>
              <w:noProof/>
              <w:sz w:val="14"/>
              <w:szCs w:val="14"/>
            </w:rPr>
            <w:fldChar w:fldCharType="end"/>
          </w:r>
        </w:p>
      </w:tc>
      <w:tc>
        <w:tcPr>
          <w:tcW w:w="2127" w:type="dxa"/>
        </w:tcPr>
        <w:p w:rsidR="00F3333F" w:rsidRPr="00CB4A1D" w:rsidRDefault="006C055A" w:rsidP="00B6487B">
          <w:pPr>
            <w:pStyle w:val="Piedepgina"/>
            <w:jc w:val="right"/>
            <w:rPr>
              <w:rFonts w:cs="Arial"/>
              <w:sz w:val="14"/>
            </w:rPr>
          </w:pPr>
          <w:r w:rsidRPr="00CB4A1D">
            <w:rPr>
              <w:rFonts w:cs="Arial"/>
              <w:sz w:val="14"/>
            </w:rPr>
            <w:t>EX.0</w:t>
          </w:r>
          <w:r>
            <w:rPr>
              <w:rFonts w:cs="Arial"/>
              <w:sz w:val="14"/>
            </w:rPr>
            <w:t>3</w:t>
          </w:r>
          <w:r w:rsidRPr="00CB4A1D">
            <w:rPr>
              <w:rFonts w:cs="Arial"/>
              <w:sz w:val="14"/>
            </w:rPr>
            <w:t>.000</w:t>
          </w:r>
          <w:r>
            <w:rPr>
              <w:rFonts w:cs="Arial"/>
              <w:sz w:val="14"/>
            </w:rPr>
            <w:t>1</w:t>
          </w:r>
          <w:r w:rsidRPr="00CB4A1D">
            <w:rPr>
              <w:rFonts w:cs="Arial"/>
              <w:sz w:val="14"/>
            </w:rPr>
            <w:t xml:space="preserve">  Rev.: 1</w:t>
          </w:r>
        </w:p>
      </w:tc>
    </w:tr>
  </w:tbl>
  <w:p w:rsidR="00F3333F" w:rsidRPr="007E7D22" w:rsidRDefault="00370FD6" w:rsidP="007E7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C9D" w:rsidRDefault="000B1B58">
      <w:pPr>
        <w:spacing w:after="0" w:line="240" w:lineRule="auto"/>
      </w:pPr>
      <w:r>
        <w:separator/>
      </w:r>
    </w:p>
  </w:footnote>
  <w:footnote w:type="continuationSeparator" w:id="0">
    <w:p w:rsidR="007D2C9D" w:rsidRDefault="000B1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3F" w:rsidRDefault="006C055A" w:rsidP="00C86A90">
    <w:pPr>
      <w:pStyle w:val="Encabezado"/>
    </w:pPr>
    <w:r>
      <w:rPr>
        <w:noProof/>
        <w:lang w:eastAsia="es-ES"/>
      </w:rPr>
      <w:drawing>
        <wp:inline distT="0" distB="0" distL="0" distR="0" wp14:anchorId="2DB5A568" wp14:editId="2C975801">
          <wp:extent cx="5932805" cy="1101725"/>
          <wp:effectExtent l="0" t="0" r="0" b="0"/>
          <wp:docPr id="1" name="Imagen 1" descr="Logos Next 23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Next 23 nue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1101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02508"/>
    <w:multiLevelType w:val="hybridMultilevel"/>
    <w:tmpl w:val="748EF518"/>
    <w:lvl w:ilvl="0" w:tplc="C66C9C60">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14"/>
    <w:rsid w:val="000B1B58"/>
    <w:rsid w:val="00370FD6"/>
    <w:rsid w:val="004F528C"/>
    <w:rsid w:val="006C055A"/>
    <w:rsid w:val="00735C14"/>
    <w:rsid w:val="007D2C9D"/>
    <w:rsid w:val="008B14D9"/>
    <w:rsid w:val="00C96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4CE"/>
  <w15:chartTrackingRefBased/>
  <w15:docId w15:val="{1F2D1A95-E6AD-467B-8A9B-C33AD685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C05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C055A"/>
  </w:style>
  <w:style w:type="paragraph" w:styleId="Piedepgina">
    <w:name w:val="footer"/>
    <w:basedOn w:val="Normal"/>
    <w:link w:val="PiedepginaCar"/>
    <w:rsid w:val="006C055A"/>
    <w:pPr>
      <w:tabs>
        <w:tab w:val="center" w:pos="4252"/>
        <w:tab w:val="right" w:pos="8504"/>
      </w:tabs>
      <w:spacing w:after="0" w:line="240" w:lineRule="auto"/>
      <w:jc w:val="both"/>
    </w:pPr>
    <w:rPr>
      <w:rFonts w:ascii="Arial" w:eastAsia="Times New Roman" w:hAnsi="Arial" w:cs="Times New Roman"/>
      <w:szCs w:val="24"/>
      <w:lang w:eastAsia="es-ES"/>
    </w:rPr>
  </w:style>
  <w:style w:type="character" w:customStyle="1" w:styleId="PiedepginaCar">
    <w:name w:val="Pie de página Car"/>
    <w:basedOn w:val="Fuentedeprrafopredeter"/>
    <w:link w:val="Piedepgina"/>
    <w:rsid w:val="006C055A"/>
    <w:rPr>
      <w:rFonts w:ascii="Arial" w:eastAsia="Times New Roman" w:hAnsi="Arial"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tur.gob.es/es-es/servicios/paginas/imageninstitucional.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derecuperacion.gob.es/identidad-visu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varra.es/es/gobierno-de-navarra/simbolo-oficial" TargetMode="External"/><Relationship Id="rId4" Type="http://schemas.openxmlformats.org/officeDocument/2006/relationships/webSettings" Target="webSettings.xml"/><Relationship Id="rId9" Type="http://schemas.openxmlformats.org/officeDocument/2006/relationships/hyperlink" Target="https://planderecuperacion.gob.es/identidad-visu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2044</Words>
  <Characters>11247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Garde Sola, Carmen (Turismo)</dc:creator>
  <cp:keywords/>
  <dc:description/>
  <cp:lastModifiedBy>Garde Sola, Carmen (Turismo)</cp:lastModifiedBy>
  <cp:revision>5</cp:revision>
  <cp:lastPrinted>2025-04-25T10:39:00Z</cp:lastPrinted>
  <dcterms:created xsi:type="dcterms:W3CDTF">2025-03-04T09:59:00Z</dcterms:created>
  <dcterms:modified xsi:type="dcterms:W3CDTF">2025-04-25T10:46:00Z</dcterms:modified>
</cp:coreProperties>
</file>