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55A" w:rsidRPr="006C055A" w:rsidRDefault="006C055A" w:rsidP="006C055A">
      <w:pPr>
        <w:spacing w:after="160" w:line="259" w:lineRule="auto"/>
        <w:jc w:val="center"/>
        <w:rPr>
          <w:rFonts w:ascii="Arial" w:eastAsia="Calibri" w:hAnsi="Arial" w:cs="Arial"/>
          <w:b/>
          <w:bCs/>
          <w:kern w:val="2"/>
        </w:rPr>
      </w:pPr>
      <w:r w:rsidRPr="006C055A">
        <w:rPr>
          <w:rFonts w:ascii="Arial" w:eastAsia="Calibri" w:hAnsi="Arial" w:cs="Arial"/>
          <w:b/>
          <w:bCs/>
          <w:kern w:val="2"/>
        </w:rPr>
        <w:t>ANEXO III</w:t>
      </w:r>
    </w:p>
    <w:p w:rsidR="006C055A" w:rsidRPr="000B1B58" w:rsidRDefault="006C055A" w:rsidP="000B1B58">
      <w:pPr>
        <w:spacing w:after="160" w:line="259" w:lineRule="auto"/>
        <w:jc w:val="center"/>
        <w:rPr>
          <w:rFonts w:ascii="Arial" w:eastAsia="Calibri" w:hAnsi="Arial" w:cs="Arial"/>
          <w:b/>
          <w:bCs/>
          <w:kern w:val="2"/>
        </w:rPr>
      </w:pPr>
      <w:r w:rsidRPr="006C055A">
        <w:rPr>
          <w:rFonts w:ascii="Arial" w:eastAsia="Calibri" w:hAnsi="Arial" w:cs="Arial"/>
          <w:b/>
          <w:bCs/>
          <w:kern w:val="2"/>
        </w:rPr>
        <w:t>REQUISITOS Y OBLIGACIONES ESPECÍFICOS MRR</w:t>
      </w:r>
    </w:p>
    <w:p w:rsidR="006C055A" w:rsidRPr="006C055A" w:rsidRDefault="006C055A" w:rsidP="006C055A">
      <w:pPr>
        <w:autoSpaceDE w:val="0"/>
        <w:autoSpaceDN w:val="0"/>
        <w:adjustRightInd w:val="0"/>
        <w:spacing w:after="160" w:line="259" w:lineRule="auto"/>
        <w:jc w:val="both"/>
        <w:rPr>
          <w:rFonts w:ascii="Arial" w:eastAsia="Calibri" w:hAnsi="Arial" w:cs="Arial"/>
          <w:kern w:val="2"/>
        </w:rPr>
      </w:pPr>
      <w:r w:rsidRPr="006C055A">
        <w:rPr>
          <w:rFonts w:ascii="Arial" w:eastAsia="Calibri" w:hAnsi="Arial" w:cs="Arial"/>
          <w:kern w:val="2"/>
        </w:rPr>
        <w:t xml:space="preserve">Las entidades beneficiarias de subvenciones financiadas por el MRR deberán cumplir las obligaciones, europeas y nacionales, relativas a la financiación del Mecanismo de Recuperación y Resiliencia de la Unión Europea. A tal efecto, deberán atenerse a lo siguiente: </w:t>
      </w:r>
    </w:p>
    <w:p w:rsidR="006C055A" w:rsidRPr="006C055A" w:rsidRDefault="006C055A" w:rsidP="006C055A">
      <w:pPr>
        <w:numPr>
          <w:ilvl w:val="0"/>
          <w:numId w:val="1"/>
        </w:numPr>
        <w:autoSpaceDE w:val="0"/>
        <w:autoSpaceDN w:val="0"/>
        <w:adjustRightInd w:val="0"/>
        <w:spacing w:after="160" w:line="259" w:lineRule="auto"/>
        <w:contextualSpacing/>
        <w:jc w:val="both"/>
        <w:rPr>
          <w:rFonts w:ascii="Arial" w:eastAsia="Calibri" w:hAnsi="Arial" w:cs="Arial"/>
        </w:rPr>
      </w:pPr>
      <w:r w:rsidRPr="006C055A">
        <w:rPr>
          <w:rFonts w:ascii="Arial" w:eastAsia="Calibri" w:hAnsi="Arial" w:cs="Arial"/>
        </w:rPr>
        <w:t>Se someterán a las actuaciones de control de las instituciones de la Unión, en virtud del artículo 22.2.e) del Reglamento (UE) 2021/241 del Parlamento Europeo y del Consejo de 12 de febrero. A tal efecto los solicitantes deberán cumplimentar y presentar junto con la solicitud el modelo del Anexo II de esta Orden foral.</w:t>
      </w:r>
    </w:p>
    <w:p w:rsidR="006C055A" w:rsidRPr="006C055A" w:rsidRDefault="006C055A" w:rsidP="006C055A">
      <w:pPr>
        <w:autoSpaceDE w:val="0"/>
        <w:autoSpaceDN w:val="0"/>
        <w:adjustRightInd w:val="0"/>
        <w:spacing w:after="0" w:line="240" w:lineRule="auto"/>
        <w:ind w:left="1068"/>
        <w:jc w:val="both"/>
        <w:rPr>
          <w:rFonts w:ascii="Arial" w:eastAsia="Calibri" w:hAnsi="Arial" w:cs="Arial"/>
          <w:kern w:val="2"/>
        </w:rPr>
      </w:pPr>
    </w:p>
    <w:p w:rsidR="006C055A" w:rsidRPr="006C055A" w:rsidRDefault="006C055A" w:rsidP="006C055A">
      <w:pPr>
        <w:numPr>
          <w:ilvl w:val="0"/>
          <w:numId w:val="1"/>
        </w:numPr>
        <w:autoSpaceDE w:val="0"/>
        <w:autoSpaceDN w:val="0"/>
        <w:adjustRightInd w:val="0"/>
        <w:spacing w:after="160" w:line="259" w:lineRule="auto"/>
        <w:contextualSpacing/>
        <w:jc w:val="both"/>
        <w:rPr>
          <w:rFonts w:ascii="Arial" w:eastAsia="Calibri" w:hAnsi="Arial" w:cs="Arial"/>
        </w:rPr>
      </w:pPr>
      <w:r w:rsidRPr="006C055A">
        <w:rPr>
          <w:rFonts w:ascii="Arial" w:eastAsia="Calibri" w:hAnsi="Arial" w:cs="Arial"/>
        </w:rPr>
        <w:t>Deberán someterse a cualesquiera otras actuaciones de comprobación y control financiero que pueda realizar el Departamento de Cultura, Deporte y Turismo, la Secretaría General de Fondos Europeos, la Intervención General de la Administración del Estado, el Tribunal de Cuentas, los órganos de control y fiscalización de la Comisión Europea y a cualesquiera otras actuaciones de comprobación y/o control financiero que puedan realizar los órganos o autoridades de control competentes, tanto nacionales como de la Unión Europea, de acuerdo a lo establecido en la normativa aplicable a la gestión de las ayudas cofinanciadas con fondos europeos, aportando para ello cuanta información le sea requerida y cooperando plenamente en la protección de los intereses financieros tanto nacionales como de la Unión Europea, concediendo los derechos y el acceso necesarios a tales órganos o autoridades.</w:t>
      </w:r>
    </w:p>
    <w:p w:rsidR="006C055A" w:rsidRPr="006C055A" w:rsidRDefault="006C055A" w:rsidP="006C055A">
      <w:pPr>
        <w:autoSpaceDE w:val="0"/>
        <w:autoSpaceDN w:val="0"/>
        <w:adjustRightInd w:val="0"/>
        <w:spacing w:after="0" w:line="240" w:lineRule="auto"/>
        <w:jc w:val="both"/>
        <w:rPr>
          <w:rFonts w:ascii="Arial" w:eastAsia="Calibri" w:hAnsi="Arial" w:cs="Arial"/>
          <w:kern w:val="2"/>
        </w:rPr>
      </w:pPr>
    </w:p>
    <w:p w:rsidR="006C055A" w:rsidRPr="006C055A" w:rsidRDefault="006C055A" w:rsidP="006C055A">
      <w:pPr>
        <w:numPr>
          <w:ilvl w:val="0"/>
          <w:numId w:val="1"/>
        </w:numPr>
        <w:autoSpaceDE w:val="0"/>
        <w:autoSpaceDN w:val="0"/>
        <w:adjustRightInd w:val="0"/>
        <w:spacing w:after="160" w:line="259" w:lineRule="auto"/>
        <w:contextualSpacing/>
        <w:jc w:val="both"/>
        <w:rPr>
          <w:rFonts w:ascii="Arial" w:eastAsia="Calibri" w:hAnsi="Arial" w:cs="Arial"/>
        </w:rPr>
      </w:pPr>
      <w:r w:rsidRPr="006C055A">
        <w:rPr>
          <w:rFonts w:ascii="Arial" w:eastAsia="Calibri" w:hAnsi="Arial" w:cs="Arial"/>
        </w:rPr>
        <w:t>Quedarán comprometidas, expresamente, con la aceptación de la ayuda correspondiente, a cumplir las instrucciones que tanto el Departamento de Cultura, Deporte y Turismo como cualquier órgano o autoridad competente les dirija en aplicación de cualquier normativa, tanto europea como nacional, que pudiera aprobarse para la ejecución o gestión tanto del Mecanismo de Recuperación y Resiliencia como del Plan de Recuperación, Transformación y Resiliencia.</w:t>
      </w:r>
      <w:r w:rsidRPr="006C055A">
        <w:rPr>
          <w:rFonts w:ascii="Calibri" w:eastAsia="Calibri" w:hAnsi="Calibri" w:cs="Times New Roman"/>
        </w:rPr>
        <w:t xml:space="preserve"> </w:t>
      </w:r>
      <w:r w:rsidRPr="006C055A">
        <w:rPr>
          <w:rFonts w:ascii="Arial" w:eastAsia="Calibri" w:hAnsi="Arial" w:cs="Arial"/>
        </w:rPr>
        <w:t xml:space="preserve">A tal efecto, recabarán, a efectos de auditoría y control del uso de los fondos y en formato electrónico, las categorías armonizadas de datos contempladas en el artículo 22.2.d) del Reglamento (UE) 2021/241 del Parlamento Europeo y del Consejo de 12 de febrero. </w:t>
      </w:r>
    </w:p>
    <w:p w:rsidR="006C055A" w:rsidRPr="006C055A" w:rsidRDefault="006C055A" w:rsidP="006C055A">
      <w:pPr>
        <w:autoSpaceDE w:val="0"/>
        <w:autoSpaceDN w:val="0"/>
        <w:adjustRightInd w:val="0"/>
        <w:spacing w:after="0" w:line="240" w:lineRule="auto"/>
        <w:ind w:left="1068"/>
        <w:jc w:val="both"/>
        <w:rPr>
          <w:rFonts w:ascii="Arial" w:eastAsia="Calibri" w:hAnsi="Arial" w:cs="Arial"/>
          <w:kern w:val="2"/>
        </w:rPr>
      </w:pPr>
    </w:p>
    <w:p w:rsidR="006C055A" w:rsidRPr="006C055A" w:rsidRDefault="006C055A" w:rsidP="006C055A">
      <w:pPr>
        <w:numPr>
          <w:ilvl w:val="0"/>
          <w:numId w:val="1"/>
        </w:numPr>
        <w:autoSpaceDE w:val="0"/>
        <w:autoSpaceDN w:val="0"/>
        <w:adjustRightInd w:val="0"/>
        <w:spacing w:after="160" w:line="259" w:lineRule="auto"/>
        <w:contextualSpacing/>
        <w:jc w:val="both"/>
        <w:rPr>
          <w:rFonts w:ascii="Arial" w:eastAsia="Calibri" w:hAnsi="Arial" w:cs="Arial"/>
        </w:rPr>
      </w:pPr>
      <w:r w:rsidRPr="006C055A">
        <w:rPr>
          <w:rFonts w:ascii="Arial" w:eastAsia="Calibri" w:hAnsi="Arial" w:cs="Arial"/>
        </w:rPr>
        <w:t>En cumplimiento de lo dispuesto en el apartado 2 del artículo 22 del Reglamento (UE) 2021/241 del Parlamento europeo y del Consejo de 12 de febrero, y con el artículo 8.1</w:t>
      </w:r>
      <w:r w:rsidRPr="006C055A">
        <w:rPr>
          <w:rFonts w:ascii="Arial" w:eastAsia="Calibri" w:hAnsi="Arial" w:cs="Arial"/>
          <w:i/>
        </w:rPr>
        <w:t xml:space="preserve"> </w:t>
      </w:r>
      <w:r w:rsidRPr="006C055A">
        <w:rPr>
          <w:rFonts w:ascii="Arial" w:eastAsia="Calibri" w:hAnsi="Arial" w:cs="Arial"/>
        </w:rPr>
        <w:t>de la Orden HPF/1030/2021, de 29 de septiembre, los beneficiarios deberán suministrar a la Dirección General de Turismo, a efectos de auditoría y control del uso de fondos en relación con las medidas destinadas a la ejecución de reformas y proyectos de inversión en el marco del plan de recuperación y resiliencia, la información de los datos sobre el perceptor final de los fondos, cuando no sea el mismo, y de los contratistas en el caso de que el perceptor final sea un poder adjudicador. Esta información deberá estar disponible conforme al artículo 10 de la Orden HFP/1031/2021, de 29 de septiembre.</w:t>
      </w:r>
    </w:p>
    <w:p w:rsidR="006C055A" w:rsidRPr="006C055A" w:rsidRDefault="006C055A" w:rsidP="006C055A">
      <w:pPr>
        <w:autoSpaceDE w:val="0"/>
        <w:autoSpaceDN w:val="0"/>
        <w:adjustRightInd w:val="0"/>
        <w:spacing w:after="0" w:line="240" w:lineRule="auto"/>
        <w:ind w:left="1068"/>
        <w:jc w:val="both"/>
        <w:rPr>
          <w:rFonts w:ascii="Arial" w:eastAsia="Calibri" w:hAnsi="Arial" w:cs="Arial"/>
          <w:kern w:val="2"/>
        </w:rPr>
      </w:pPr>
    </w:p>
    <w:p w:rsidR="006C055A" w:rsidRPr="000B1B58" w:rsidRDefault="006C055A" w:rsidP="006C055A">
      <w:pPr>
        <w:numPr>
          <w:ilvl w:val="0"/>
          <w:numId w:val="1"/>
        </w:numPr>
        <w:autoSpaceDE w:val="0"/>
        <w:autoSpaceDN w:val="0"/>
        <w:adjustRightInd w:val="0"/>
        <w:spacing w:after="160" w:line="259" w:lineRule="auto"/>
        <w:contextualSpacing/>
        <w:jc w:val="both"/>
        <w:rPr>
          <w:rFonts w:ascii="Arial" w:eastAsia="Calibri" w:hAnsi="Arial" w:cs="Arial"/>
        </w:rPr>
      </w:pPr>
      <w:r w:rsidRPr="006C055A">
        <w:rPr>
          <w:rFonts w:ascii="Arial" w:eastAsia="Calibri" w:hAnsi="Arial" w:cs="Arial"/>
        </w:rPr>
        <w:t xml:space="preserve">Serán responsables de la fiabilidad y el seguimiento de la ejecución de las actuaciones subvencionadas, de manera que pueda conocerse en todo momento el nivel de consecución de cada actuación y de los hitos y objetivos que se hayan establecido al respecto. </w:t>
      </w:r>
    </w:p>
    <w:p w:rsidR="006C055A" w:rsidRPr="006C055A" w:rsidRDefault="006C055A" w:rsidP="006C055A">
      <w:pPr>
        <w:numPr>
          <w:ilvl w:val="0"/>
          <w:numId w:val="1"/>
        </w:numPr>
        <w:autoSpaceDE w:val="0"/>
        <w:autoSpaceDN w:val="0"/>
        <w:adjustRightInd w:val="0"/>
        <w:spacing w:after="160" w:line="259" w:lineRule="auto"/>
        <w:contextualSpacing/>
        <w:jc w:val="both"/>
        <w:rPr>
          <w:rFonts w:ascii="Arial" w:eastAsia="Calibri" w:hAnsi="Arial" w:cs="Arial"/>
        </w:rPr>
      </w:pPr>
      <w:r w:rsidRPr="006C055A">
        <w:rPr>
          <w:rFonts w:ascii="Arial" w:eastAsia="Calibri" w:hAnsi="Arial" w:cs="Arial"/>
        </w:rPr>
        <w:lastRenderedPageBreak/>
        <w:t xml:space="preserve">Deberán establecer mecanismos que aseguren que las actuaciones a desarrollar por terceros contribuyen al logro de las actuaciones previstas y que dichos terceros aporten la información que, en su caso, fuera necesaria para determinar el valor de los indicadores de seguimiento del Plan de Recuperación, Transformación y Resiliencia. </w:t>
      </w:r>
    </w:p>
    <w:p w:rsidR="006C055A" w:rsidRPr="006C055A" w:rsidRDefault="006C055A" w:rsidP="006C055A">
      <w:pPr>
        <w:spacing w:after="160" w:line="259" w:lineRule="auto"/>
        <w:ind w:left="720"/>
        <w:contextualSpacing/>
        <w:jc w:val="both"/>
        <w:rPr>
          <w:rFonts w:ascii="Arial" w:eastAsia="Calibri" w:hAnsi="Arial" w:cs="Arial"/>
        </w:rPr>
      </w:pPr>
    </w:p>
    <w:p w:rsidR="006C055A" w:rsidRPr="006C055A" w:rsidRDefault="006C055A" w:rsidP="006C055A">
      <w:pPr>
        <w:numPr>
          <w:ilvl w:val="0"/>
          <w:numId w:val="1"/>
        </w:numPr>
        <w:autoSpaceDE w:val="0"/>
        <w:autoSpaceDN w:val="0"/>
        <w:adjustRightInd w:val="0"/>
        <w:spacing w:after="160" w:line="259" w:lineRule="auto"/>
        <w:contextualSpacing/>
        <w:jc w:val="both"/>
        <w:rPr>
          <w:rFonts w:ascii="Arial" w:eastAsia="Calibri" w:hAnsi="Arial" w:cs="Arial"/>
        </w:rPr>
      </w:pPr>
      <w:r w:rsidRPr="006C055A">
        <w:rPr>
          <w:rFonts w:ascii="Arial" w:eastAsia="Calibri" w:hAnsi="Arial" w:cs="Arial"/>
        </w:rPr>
        <w:t xml:space="preserve">Asumirán el mantenimiento de una adecuada pista de auditoría de las actuaciones realizadas en el marco de esta subvención, y la obligación de mantenimiento de la documentación soporte. El suministro de la información se realizará en los términos que establezca el Ministerio de Hacienda y Función Pública de conformidad con la normativa nacional y de la Unión Europea. </w:t>
      </w:r>
    </w:p>
    <w:p w:rsidR="006C055A" w:rsidRPr="006C055A" w:rsidRDefault="006C055A" w:rsidP="006C055A">
      <w:pPr>
        <w:spacing w:after="160" w:line="259" w:lineRule="auto"/>
        <w:ind w:left="720"/>
        <w:contextualSpacing/>
        <w:jc w:val="both"/>
        <w:rPr>
          <w:rFonts w:ascii="Arial" w:eastAsia="Calibri" w:hAnsi="Arial" w:cs="Arial"/>
        </w:rPr>
      </w:pPr>
    </w:p>
    <w:p w:rsidR="006C055A" w:rsidRPr="006C055A" w:rsidRDefault="006C055A" w:rsidP="006C055A">
      <w:pPr>
        <w:numPr>
          <w:ilvl w:val="0"/>
          <w:numId w:val="1"/>
        </w:numPr>
        <w:autoSpaceDE w:val="0"/>
        <w:autoSpaceDN w:val="0"/>
        <w:adjustRightInd w:val="0"/>
        <w:spacing w:after="160" w:line="259" w:lineRule="auto"/>
        <w:contextualSpacing/>
        <w:jc w:val="both"/>
        <w:rPr>
          <w:rFonts w:ascii="Arial" w:eastAsia="Calibri" w:hAnsi="Arial" w:cs="Arial"/>
        </w:rPr>
      </w:pPr>
      <w:r w:rsidRPr="006C055A">
        <w:rPr>
          <w:rFonts w:ascii="Arial" w:eastAsia="Calibri" w:hAnsi="Arial" w:cs="Arial"/>
        </w:rPr>
        <w:t xml:space="preserve">Garantizarán el pleno cumplimiento del principio de «no causar un perjuicio significativo al medio ambiente» (principio do no </w:t>
      </w:r>
      <w:proofErr w:type="spellStart"/>
      <w:r w:rsidRPr="006C055A">
        <w:rPr>
          <w:rFonts w:ascii="Arial" w:eastAsia="Calibri" w:hAnsi="Arial" w:cs="Arial"/>
        </w:rPr>
        <w:t>significant</w:t>
      </w:r>
      <w:proofErr w:type="spellEnd"/>
      <w:r w:rsidRPr="006C055A">
        <w:rPr>
          <w:rFonts w:ascii="Arial" w:eastAsia="Calibri" w:hAnsi="Arial" w:cs="Arial"/>
        </w:rPr>
        <w:t xml:space="preserve"> </w:t>
      </w:r>
      <w:proofErr w:type="spellStart"/>
      <w:r w:rsidRPr="006C055A">
        <w:rPr>
          <w:rFonts w:ascii="Arial" w:eastAsia="Calibri" w:hAnsi="Arial" w:cs="Arial"/>
        </w:rPr>
        <w:t>harm</w:t>
      </w:r>
      <w:proofErr w:type="spellEnd"/>
      <w:r w:rsidRPr="006C055A">
        <w:rPr>
          <w:rFonts w:ascii="Arial" w:eastAsia="Calibri" w:hAnsi="Arial" w:cs="Arial"/>
        </w:rPr>
        <w:t xml:space="preserve"> - DNSH) y el etiquetado climático y digital, de acuerdo con lo previsto en el Plan de Recuperación, Transformación y Resiliencia, aprobado por Consejo de Ministros el 27 de abril de 2021, por el Reglamento (UE) nº 2021/241 del Parlamento Europeo y del Consejo, de 12 de febrero de 2021, por el que se establece el Mecanismo de Recuperación y Resiliencia, en el artículo 17 del Reglamento (UE) 2020/852 del Parlamento Europeo y del Consejo de 18 de junio de 2020 relativo al establecimiento de un marco para facilitar las inversiones sostenibles y por el que se modifica el Reglamento (UE) 2019/2088 dando cumplimiento a la Guía técnica (2021/C 58/01) sobre la aplicación del principio de «no causar un perjuicio significativo», con lo dispuesto en el artículo 5 de la Orden HFP/1030/2021, de 29 de septiembre, a las condiciones específicas previstas en el componente 14 y especialmente las recogidas en los apartados 3 y 8 del documento del Componente del Plan en relación con la inversión en la que se enmarca, así como con lo requerido en la Decisión de Ejecución del Consejo relativa a la aprobación de la evaluación del plan de recuperación y resiliencia de España.” Todos los proyectos objeto de la ayuda en todas las fases del diseño, ejecución y justificación de los proyectos y de manera individual para cada actuación, deberán respetar el principio de «no causar un perjuicio significativo al medio ambiente». </w:t>
      </w:r>
    </w:p>
    <w:p w:rsidR="006C055A" w:rsidRPr="006C055A" w:rsidRDefault="006C055A" w:rsidP="006C055A">
      <w:pPr>
        <w:spacing w:after="160" w:line="259" w:lineRule="auto"/>
        <w:ind w:left="720"/>
        <w:contextualSpacing/>
        <w:jc w:val="both"/>
        <w:rPr>
          <w:rFonts w:ascii="Arial" w:eastAsia="Calibri" w:hAnsi="Arial" w:cs="Arial"/>
        </w:rPr>
      </w:pPr>
    </w:p>
    <w:p w:rsidR="006C055A" w:rsidRPr="006C055A" w:rsidRDefault="006C055A" w:rsidP="006C055A">
      <w:pPr>
        <w:numPr>
          <w:ilvl w:val="0"/>
          <w:numId w:val="1"/>
        </w:numPr>
        <w:spacing w:after="160" w:line="259" w:lineRule="auto"/>
        <w:contextualSpacing/>
        <w:jc w:val="both"/>
        <w:rPr>
          <w:rFonts w:ascii="Arial" w:eastAsia="Calibri" w:hAnsi="Arial" w:cs="Arial"/>
        </w:rPr>
      </w:pPr>
      <w:r w:rsidRPr="006C055A">
        <w:rPr>
          <w:rFonts w:ascii="Arial" w:eastAsia="Calibri" w:hAnsi="Arial" w:cs="Arial"/>
        </w:rPr>
        <w:t>En caso de que la entidad beneficiaria de la ayuda contrate o subcontrate parte o la totalidad de la actividad objeto de esta subvención, habrá de prever los mecanismos para asegurar que los contratistas y subcontratistas cumplan con los principios de “no causar un perjuicio significativo al medio ambiente” y de identificación del perceptor final de los fondos.</w:t>
      </w:r>
    </w:p>
    <w:p w:rsidR="006C055A" w:rsidRPr="006C055A" w:rsidRDefault="006C055A" w:rsidP="006C055A">
      <w:pPr>
        <w:spacing w:after="160" w:line="259" w:lineRule="auto"/>
        <w:ind w:left="360"/>
        <w:contextualSpacing/>
        <w:jc w:val="both"/>
        <w:rPr>
          <w:rFonts w:ascii="Arial" w:eastAsia="Calibri" w:hAnsi="Arial" w:cs="Arial"/>
        </w:rPr>
      </w:pPr>
    </w:p>
    <w:p w:rsidR="006C055A" w:rsidRPr="006C055A" w:rsidRDefault="006C055A" w:rsidP="006C055A">
      <w:pPr>
        <w:numPr>
          <w:ilvl w:val="0"/>
          <w:numId w:val="1"/>
        </w:numPr>
        <w:autoSpaceDE w:val="0"/>
        <w:autoSpaceDN w:val="0"/>
        <w:adjustRightInd w:val="0"/>
        <w:spacing w:after="160" w:line="259" w:lineRule="auto"/>
        <w:contextualSpacing/>
        <w:jc w:val="both"/>
        <w:rPr>
          <w:rFonts w:ascii="Arial" w:eastAsia="Calibri" w:hAnsi="Arial" w:cs="Arial"/>
        </w:rPr>
      </w:pPr>
      <w:r w:rsidRPr="006C055A">
        <w:rPr>
          <w:rFonts w:ascii="Arial" w:eastAsia="Calibri" w:hAnsi="Arial" w:cs="Arial"/>
          <w:kern w:val="2"/>
        </w:rPr>
        <w:t xml:space="preserve">Tendrán la obligación de asegurar la regularidad del gasto subyacente y de la adopción de medidas dirigidas a prevenir, detectar, comunicar y corregir el fraude y la corrupción, prevenir el conflicto de interés y la doble financiación en los procedimientos utilizados para la ejecución de los proyectos, de acuerdo a los artículos 6 y 7 de la orden HFP/1030/2021, de 29 de septiembre. </w:t>
      </w:r>
    </w:p>
    <w:p w:rsidR="006C055A" w:rsidRPr="006C055A" w:rsidRDefault="006C055A" w:rsidP="006C055A">
      <w:pPr>
        <w:autoSpaceDE w:val="0"/>
        <w:autoSpaceDN w:val="0"/>
        <w:adjustRightInd w:val="0"/>
        <w:spacing w:after="160" w:line="259" w:lineRule="auto"/>
        <w:ind w:left="360"/>
        <w:contextualSpacing/>
        <w:jc w:val="both"/>
        <w:rPr>
          <w:rFonts w:ascii="Arial" w:eastAsia="Calibri" w:hAnsi="Arial" w:cs="Arial"/>
        </w:rPr>
      </w:pPr>
    </w:p>
    <w:p w:rsidR="006C055A" w:rsidRPr="006C055A" w:rsidRDefault="006C055A" w:rsidP="006C055A">
      <w:pPr>
        <w:numPr>
          <w:ilvl w:val="0"/>
          <w:numId w:val="1"/>
        </w:numPr>
        <w:autoSpaceDE w:val="0"/>
        <w:autoSpaceDN w:val="0"/>
        <w:adjustRightInd w:val="0"/>
        <w:spacing w:after="160" w:line="300" w:lineRule="atLeast"/>
        <w:contextualSpacing/>
        <w:jc w:val="both"/>
        <w:rPr>
          <w:rFonts w:ascii="Arial" w:eastAsia="Calibri" w:hAnsi="Arial" w:cs="Arial"/>
        </w:rPr>
      </w:pPr>
      <w:r w:rsidRPr="006C055A">
        <w:rPr>
          <w:rFonts w:ascii="Arial" w:eastAsia="Calibri" w:hAnsi="Arial" w:cs="Arial"/>
        </w:rPr>
        <w:t xml:space="preserve">Custodiarán y conservarán la documentación de la actividad financiada por el Mecanismo de Recuperación y Resiliencia de conformidad con el artículo 132 del Reglamento (UE, </w:t>
      </w:r>
      <w:proofErr w:type="spellStart"/>
      <w:r w:rsidRPr="006C055A">
        <w:rPr>
          <w:rFonts w:ascii="Arial" w:eastAsia="Calibri" w:hAnsi="Arial" w:cs="Arial"/>
        </w:rPr>
        <w:t>Euratom</w:t>
      </w:r>
      <w:proofErr w:type="spellEnd"/>
      <w:r w:rsidRPr="006C055A">
        <w:rPr>
          <w:rFonts w:ascii="Arial" w:eastAsia="Calibri" w:hAnsi="Arial" w:cs="Arial"/>
        </w:rPr>
        <w:t xml:space="preserve">) 2018/1046 del Parlamento Europeo y del Consejo, de 18 de julio de 2018, sobre las normas financieras aplicables al presupuesto general de la Unión. En este sentido, los perceptores de la ayuda deberán conservar los documentos justificativos y demás </w:t>
      </w:r>
      <w:r w:rsidRPr="006C055A">
        <w:rPr>
          <w:rFonts w:ascii="Arial" w:eastAsia="Calibri" w:hAnsi="Arial" w:cs="Arial"/>
        </w:rPr>
        <w:lastRenderedPageBreak/>
        <w:t xml:space="preserve">documentación concerniente a la financiación, en formato electrónico, durante un período de cinco años a partir del pago del saldo final. Este período será de tres años si la financiación no supera los 60.000 euros. </w:t>
      </w:r>
    </w:p>
    <w:p w:rsidR="006C055A" w:rsidRPr="006C055A" w:rsidRDefault="006C055A" w:rsidP="006C055A">
      <w:pPr>
        <w:spacing w:after="160" w:line="259" w:lineRule="auto"/>
        <w:ind w:left="720"/>
        <w:contextualSpacing/>
        <w:jc w:val="both"/>
        <w:rPr>
          <w:rFonts w:ascii="Arial" w:eastAsia="Calibri" w:hAnsi="Arial" w:cs="Arial"/>
        </w:rPr>
      </w:pPr>
    </w:p>
    <w:p w:rsidR="006C055A" w:rsidRPr="006C055A" w:rsidRDefault="006C055A" w:rsidP="006C055A">
      <w:pPr>
        <w:numPr>
          <w:ilvl w:val="0"/>
          <w:numId w:val="1"/>
        </w:numPr>
        <w:autoSpaceDE w:val="0"/>
        <w:autoSpaceDN w:val="0"/>
        <w:adjustRightInd w:val="0"/>
        <w:spacing w:after="160" w:line="259" w:lineRule="auto"/>
        <w:contextualSpacing/>
        <w:jc w:val="both"/>
        <w:rPr>
          <w:rFonts w:ascii="Arial" w:eastAsia="Calibri" w:hAnsi="Arial" w:cs="Arial"/>
        </w:rPr>
      </w:pPr>
      <w:r w:rsidRPr="006C055A">
        <w:rPr>
          <w:rFonts w:ascii="Arial" w:eastAsia="Calibri" w:hAnsi="Arial" w:cs="Arial"/>
        </w:rPr>
        <w:t xml:space="preserve">En aquellas actuaciones que contemplen obras, los beneficiarios garantizarán, en función de las características de estas, que no se perjudique a ninguno de los seis objetivos medioambientales definidos en dicho reglamento y se comprometerán a que: </w:t>
      </w:r>
    </w:p>
    <w:p w:rsidR="006C055A" w:rsidRPr="006C055A" w:rsidRDefault="006C055A" w:rsidP="006C055A">
      <w:pPr>
        <w:autoSpaceDE w:val="0"/>
        <w:autoSpaceDN w:val="0"/>
        <w:adjustRightInd w:val="0"/>
        <w:spacing w:after="160" w:line="259" w:lineRule="auto"/>
        <w:ind w:left="1134"/>
        <w:jc w:val="both"/>
        <w:rPr>
          <w:rFonts w:ascii="Arial" w:eastAsia="Calibri" w:hAnsi="Arial" w:cs="Arial"/>
          <w:kern w:val="2"/>
        </w:rPr>
      </w:pPr>
      <w:r w:rsidRPr="006C055A">
        <w:rPr>
          <w:rFonts w:ascii="Arial" w:eastAsia="Calibri" w:hAnsi="Arial" w:cs="Arial"/>
          <w:kern w:val="2"/>
        </w:rPr>
        <w:t xml:space="preserve">1º. Al menos el 70 % (en peso) de los residuos de construcción y demolición generados en los proyectos de infraestructura (con exclusión de los residuos con código LER 17 05 04), se preparen para la reutilización, el reciclaje y la revalorización de otros materiales, incluidas las operaciones de relleno utilizando residuos para sustituir otros materiales de acuerdo con la jerarquía de residuos y el Protocolo de gestión de residuos de construcción y demolición de la UE. </w:t>
      </w:r>
    </w:p>
    <w:p w:rsidR="006C055A" w:rsidRPr="006C055A" w:rsidRDefault="006C055A" w:rsidP="006C055A">
      <w:pPr>
        <w:autoSpaceDE w:val="0"/>
        <w:autoSpaceDN w:val="0"/>
        <w:adjustRightInd w:val="0"/>
        <w:spacing w:after="160" w:line="259" w:lineRule="auto"/>
        <w:ind w:left="1134"/>
        <w:jc w:val="both"/>
        <w:rPr>
          <w:rFonts w:ascii="Arial" w:eastAsia="Calibri" w:hAnsi="Arial" w:cs="Arial"/>
          <w:kern w:val="2"/>
        </w:rPr>
      </w:pPr>
      <w:r w:rsidRPr="006C055A">
        <w:rPr>
          <w:rFonts w:ascii="Arial" w:eastAsia="Calibri" w:hAnsi="Arial" w:cs="Arial"/>
          <w:kern w:val="2"/>
        </w:rPr>
        <w:t xml:space="preserve">2º. Los operadores limiten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 </w:t>
      </w:r>
    </w:p>
    <w:p w:rsidR="006C055A" w:rsidRPr="006C055A" w:rsidRDefault="006C055A" w:rsidP="006C055A">
      <w:pPr>
        <w:autoSpaceDE w:val="0"/>
        <w:autoSpaceDN w:val="0"/>
        <w:adjustRightInd w:val="0"/>
        <w:spacing w:after="160" w:line="259" w:lineRule="auto"/>
        <w:ind w:left="1134"/>
        <w:jc w:val="both"/>
        <w:rPr>
          <w:rFonts w:ascii="Arial" w:eastAsia="Calibri" w:hAnsi="Arial" w:cs="Arial"/>
          <w:kern w:val="2"/>
        </w:rPr>
      </w:pPr>
      <w:r w:rsidRPr="006C055A">
        <w:rPr>
          <w:rFonts w:ascii="Arial" w:eastAsia="Calibri" w:hAnsi="Arial" w:cs="Arial"/>
          <w:kern w:val="2"/>
        </w:rPr>
        <w:t xml:space="preserve">3º. Los diseños de los edificios y las técnicas de construcción apoyen la circularidad en lo referido a la norma ISO 20887 para evaluar la capacidad de desmontaje o adaptabilidad de los edificios, cómo estos están diseñados para ser más eficientes en el uso de los recursos, adaptables, flexibles y desmontables para permitir la reutilización y el reciclaje utilizando los sistemas de clasificación disponibles para residuos de construcción y demolición. </w:t>
      </w:r>
    </w:p>
    <w:p w:rsidR="006C055A" w:rsidRPr="006C055A" w:rsidRDefault="006C055A" w:rsidP="006C055A">
      <w:pPr>
        <w:autoSpaceDE w:val="0"/>
        <w:autoSpaceDN w:val="0"/>
        <w:adjustRightInd w:val="0"/>
        <w:spacing w:after="160" w:line="259" w:lineRule="auto"/>
        <w:ind w:left="1134"/>
        <w:jc w:val="both"/>
        <w:rPr>
          <w:rFonts w:ascii="Calibri" w:eastAsia="Calibri" w:hAnsi="Calibri" w:cs="Times New Roman"/>
          <w:kern w:val="2"/>
          <w:sz w:val="20"/>
          <w:szCs w:val="20"/>
        </w:rPr>
      </w:pPr>
      <w:r w:rsidRPr="006C055A">
        <w:rPr>
          <w:rFonts w:ascii="Arial" w:eastAsia="Calibri" w:hAnsi="Arial" w:cs="Arial"/>
          <w:kern w:val="2"/>
        </w:rPr>
        <w:t>4º. Los componentes y materiales de construcción utilizados en el desarrollo de las actuaciones previstas en esta medida no contengan amianto ni sustancias muy preocupantes identificadas a partir de la lista de sustancias sujetas a autorización que figura en el anexo XIV del Reglamento (CE) 1907/2006. Los componentes y materiales de construcción utilizados en la construcción que puedan entrar en contacto con los usuarios emitirán menos de 0,06 mg de formaldehído por m³ de material o componente y menos de 0,001 mg de compuestos orgánicos volátiles cancerígenos de categorías 1A y 1B por m³ de material o componente, previa prueba de acuerdo con CEN / TS 16516 e ISO 16000-3 u otras condiciones de prueba estandarizadas y métodos de determinación comparables. Además, se adoptarán medidas para reducir el ruido, el polvo y las emisiones contaminantes durante la fase de obra y se ejecutarán las actuaciones asociadas a esta medida siempre cumpliendo la normativa de aplicación vigente en cuanto la posible contaminación de suelos y agua.»</w:t>
      </w:r>
    </w:p>
    <w:p w:rsidR="006C055A" w:rsidRPr="006C055A" w:rsidRDefault="006C055A" w:rsidP="006C055A">
      <w:pPr>
        <w:autoSpaceDE w:val="0"/>
        <w:autoSpaceDN w:val="0"/>
        <w:adjustRightInd w:val="0"/>
        <w:spacing w:after="160" w:line="259" w:lineRule="auto"/>
        <w:ind w:left="1134"/>
        <w:jc w:val="both"/>
        <w:rPr>
          <w:rFonts w:ascii="Arial" w:eastAsia="Calibri" w:hAnsi="Arial" w:cs="Arial"/>
          <w:kern w:val="2"/>
        </w:rPr>
      </w:pPr>
      <w:r w:rsidRPr="006C055A">
        <w:rPr>
          <w:rFonts w:ascii="Arial" w:eastAsia="Calibri" w:hAnsi="Arial" w:cs="Arial"/>
          <w:kern w:val="2"/>
        </w:rPr>
        <w:t>6º Si las inversiones implican alguna demolición, se deberá practicar una demolición selectiva.</w:t>
      </w:r>
    </w:p>
    <w:p w:rsidR="006C055A" w:rsidRPr="006C055A" w:rsidRDefault="006C055A" w:rsidP="006C055A">
      <w:pPr>
        <w:autoSpaceDE w:val="0"/>
        <w:autoSpaceDN w:val="0"/>
        <w:adjustRightInd w:val="0"/>
        <w:spacing w:after="160" w:line="259" w:lineRule="auto"/>
        <w:ind w:left="1134"/>
        <w:jc w:val="both"/>
        <w:rPr>
          <w:rFonts w:ascii="Arial" w:eastAsia="Calibri" w:hAnsi="Arial" w:cs="Arial"/>
          <w:kern w:val="2"/>
        </w:rPr>
      </w:pPr>
      <w:r w:rsidRPr="006C055A">
        <w:rPr>
          <w:rFonts w:ascii="Arial" w:eastAsia="Calibri" w:hAnsi="Arial" w:cs="Arial"/>
          <w:kern w:val="2"/>
        </w:rPr>
        <w:t xml:space="preserve">7º Cuando las actuaciones de rehabilitación tengan lugar en áreas sensibles a la biodiversidad (incluida la red Natura 2000 de áreas protegidas, sitios del Patrimonio </w:t>
      </w:r>
      <w:r w:rsidRPr="006C055A">
        <w:rPr>
          <w:rFonts w:ascii="Arial" w:eastAsia="Calibri" w:hAnsi="Arial" w:cs="Arial"/>
          <w:kern w:val="2"/>
        </w:rPr>
        <w:lastRenderedPageBreak/>
        <w:t>Mundial de la UNESCO y áreas clave para la biodiversidad, así como otras áreas protegidas) o en áreas próximas, se requerirá el cumplimiento de los artículos 6 (3) y 12 de la Directiva de hábitats y el artículo 5 de la Directiva de aves. Además, cuando sea preceptivo, se llevará a cabo una Evaluación de Impacto Ambiental (EIA) de acuerdo con la Directiva EIA</w:t>
      </w:r>
    </w:p>
    <w:p w:rsidR="006C055A" w:rsidRPr="006C055A" w:rsidRDefault="006C055A" w:rsidP="006C055A">
      <w:pPr>
        <w:autoSpaceDE w:val="0"/>
        <w:autoSpaceDN w:val="0"/>
        <w:adjustRightInd w:val="0"/>
        <w:spacing w:after="160" w:line="259" w:lineRule="auto"/>
        <w:ind w:left="1134"/>
        <w:jc w:val="both"/>
        <w:rPr>
          <w:rFonts w:ascii="Arial" w:eastAsia="Calibri" w:hAnsi="Arial" w:cs="Arial"/>
          <w:kern w:val="2"/>
        </w:rPr>
      </w:pPr>
      <w:r w:rsidRPr="006C055A">
        <w:rPr>
          <w:rFonts w:ascii="Arial" w:eastAsia="Calibri" w:hAnsi="Arial" w:cs="Arial"/>
          <w:kern w:val="2"/>
        </w:rPr>
        <w:t>8º En la rehabilitación de edificios se tendrá en consideración las directrices recogidas en la Directiva (UE) 2018/844 relativa a la eficacia energética de los edificios de cara a que sean edificios de consumo de energía casi nulo, permitiendo reducir de forma significativa el consumo de energía primaria no renovable.</w:t>
      </w:r>
    </w:p>
    <w:p w:rsidR="006C055A" w:rsidRPr="006C055A" w:rsidRDefault="006C055A" w:rsidP="006C055A">
      <w:pPr>
        <w:autoSpaceDE w:val="0"/>
        <w:autoSpaceDN w:val="0"/>
        <w:adjustRightInd w:val="0"/>
        <w:spacing w:after="160" w:line="259" w:lineRule="auto"/>
        <w:ind w:left="1134"/>
        <w:jc w:val="both"/>
        <w:rPr>
          <w:rFonts w:ascii="Arial" w:eastAsia="Calibri" w:hAnsi="Arial" w:cs="Arial"/>
          <w:kern w:val="2"/>
        </w:rPr>
      </w:pPr>
      <w:r w:rsidRPr="006C055A">
        <w:rPr>
          <w:rFonts w:ascii="Arial" w:eastAsia="Calibri" w:hAnsi="Arial" w:cs="Arial"/>
          <w:kern w:val="2"/>
        </w:rPr>
        <w:t>9º Las medidas de rehabilitación permitirán contribuir a la adaptación de los edificios al cambio climático, adoptando las soluciones de adaptación que sean posibles en el marco de las opciones que permita la edificación existente y su protección en caso de que sean edificios protegidos, como la utilización de cubiertas vegetales, toldos, zonas de sombreado…</w:t>
      </w:r>
    </w:p>
    <w:p w:rsidR="006C055A" w:rsidRPr="006C055A" w:rsidRDefault="006C055A" w:rsidP="006C055A">
      <w:pPr>
        <w:numPr>
          <w:ilvl w:val="0"/>
          <w:numId w:val="1"/>
        </w:numPr>
        <w:autoSpaceDE w:val="0"/>
        <w:autoSpaceDN w:val="0"/>
        <w:adjustRightInd w:val="0"/>
        <w:spacing w:after="160" w:line="240" w:lineRule="auto"/>
        <w:contextualSpacing/>
        <w:jc w:val="both"/>
        <w:rPr>
          <w:rFonts w:ascii="Arial" w:eastAsia="Calibri" w:hAnsi="Arial" w:cs="Arial"/>
        </w:rPr>
      </w:pPr>
      <w:r w:rsidRPr="006C055A">
        <w:rPr>
          <w:rFonts w:ascii="Arial" w:eastAsia="Calibri" w:hAnsi="Arial" w:cs="Arial"/>
        </w:rPr>
        <w:t xml:space="preserve">Obligaciones de comunicación: los beneficiarios deben cumplir con las obligaciones en materia de información, comunicación y publicidad contempladas en el artículo 34 del Reglamento (UE) 2021/241, relativo al Mecanismo de Recuperación y Resiliencia, sobre la financiación de la Unión Europea de las medidas incluidas en el Plan de Recuperación, Transformación y Resiliencia y en el artículo 9 de la Orden HFP/1030/2021, de 29 de septiembre. En particular, en las medidas de información y comunicación de las actuaciones (carteles informativos, placas, publicaciones impresas y electrónicas, material audiovisual, páginas web, anuncios e inserciones en prensa, certificados, etc.), se deberán incluir los siguientes logos: </w:t>
      </w:r>
    </w:p>
    <w:p w:rsidR="006C055A" w:rsidRPr="006C055A" w:rsidRDefault="006C055A" w:rsidP="006C055A">
      <w:pPr>
        <w:spacing w:before="100" w:beforeAutospacing="1" w:after="100" w:afterAutospacing="1"/>
        <w:ind w:left="1416"/>
        <w:contextualSpacing/>
        <w:jc w:val="both"/>
        <w:rPr>
          <w:rFonts w:ascii="Arial" w:eastAsia="Times New Roman" w:hAnsi="Arial" w:cs="Arial"/>
          <w:color w:val="0000FF"/>
          <w:u w:val="single"/>
          <w:lang w:eastAsia="es-ES"/>
        </w:rPr>
      </w:pPr>
      <w:r w:rsidRPr="006C055A">
        <w:rPr>
          <w:rFonts w:ascii="Arial" w:eastAsia="Times New Roman" w:hAnsi="Arial" w:cs="Arial"/>
          <w:lang w:eastAsia="es-ES"/>
        </w:rPr>
        <w:t>1º. El emblema de la Unión Europea junto con el texto «Financiado por la Unión Europea-</w:t>
      </w:r>
      <w:proofErr w:type="spellStart"/>
      <w:r w:rsidRPr="006C055A">
        <w:rPr>
          <w:rFonts w:ascii="Arial" w:eastAsia="Times New Roman" w:hAnsi="Arial" w:cs="Arial"/>
          <w:lang w:eastAsia="es-ES"/>
        </w:rPr>
        <w:t>Next</w:t>
      </w:r>
      <w:proofErr w:type="spellEnd"/>
      <w:r w:rsidRPr="006C055A">
        <w:rPr>
          <w:rFonts w:ascii="Arial" w:eastAsia="Times New Roman" w:hAnsi="Arial" w:cs="Arial"/>
          <w:lang w:eastAsia="es-ES"/>
        </w:rPr>
        <w:t xml:space="preserve"> </w:t>
      </w:r>
      <w:proofErr w:type="spellStart"/>
      <w:r w:rsidRPr="006C055A">
        <w:rPr>
          <w:rFonts w:ascii="Arial" w:eastAsia="Times New Roman" w:hAnsi="Arial" w:cs="Arial"/>
          <w:lang w:eastAsia="es-ES"/>
        </w:rPr>
        <w:t>Generation</w:t>
      </w:r>
      <w:proofErr w:type="spellEnd"/>
      <w:r w:rsidRPr="006C055A">
        <w:rPr>
          <w:rFonts w:ascii="Arial" w:eastAsia="Times New Roman" w:hAnsi="Arial" w:cs="Arial"/>
          <w:lang w:eastAsia="es-ES"/>
        </w:rPr>
        <w:t xml:space="preserve"> EU». Se tendrán en cuenta las normas gráficas y los colores normalizados recogidos en el “Manual de marca del PRTR”, que se puede consultar en la siguiente página web: </w:t>
      </w:r>
      <w:hyperlink r:id="rId7" w:history="1">
        <w:r w:rsidRPr="006C055A">
          <w:rPr>
            <w:rFonts w:ascii="Arial" w:eastAsia="Times New Roman" w:hAnsi="Arial" w:cs="Arial"/>
            <w:color w:val="0000FF"/>
            <w:u w:val="single"/>
            <w:lang w:eastAsia="es-ES"/>
          </w:rPr>
          <w:t>Identidad visual | Plan de Recuperación, Transformación y Resiliencia Gobierno de España. (https://planderecuperacion.gob.es)</w:t>
        </w:r>
      </w:hyperlink>
    </w:p>
    <w:p w:rsidR="006C055A" w:rsidRPr="006C055A" w:rsidRDefault="006C055A" w:rsidP="006C055A">
      <w:pPr>
        <w:spacing w:before="100" w:beforeAutospacing="1" w:after="100" w:afterAutospacing="1"/>
        <w:ind w:left="1416"/>
        <w:contextualSpacing/>
        <w:jc w:val="both"/>
        <w:rPr>
          <w:rFonts w:ascii="Arial" w:eastAsia="Times New Roman" w:hAnsi="Arial" w:cs="Arial"/>
          <w:lang w:eastAsia="es-ES"/>
        </w:rPr>
      </w:pPr>
      <w:r w:rsidRPr="006C055A">
        <w:rPr>
          <w:rFonts w:ascii="Arial" w:eastAsia="Times New Roman" w:hAnsi="Arial" w:cs="Arial"/>
          <w:lang w:eastAsia="es-ES"/>
        </w:rPr>
        <w:t xml:space="preserve">2º. El logo oficial del Ministerio de Industria y Turismo del Gobierno de España disponible en el enlace </w:t>
      </w:r>
      <w:hyperlink r:id="rId8" w:history="1">
        <w:r w:rsidRPr="006C055A">
          <w:rPr>
            <w:rFonts w:ascii="Arial" w:eastAsia="Times New Roman" w:hAnsi="Arial" w:cs="Arial"/>
            <w:color w:val="0000FF"/>
            <w:u w:val="single"/>
            <w:lang w:eastAsia="es-ES"/>
          </w:rPr>
          <w:t>https://www.mintur.gob.es/es-es/servicios/paginas/imageninstitucional.aspx</w:t>
        </w:r>
      </w:hyperlink>
    </w:p>
    <w:p w:rsidR="006C055A" w:rsidRPr="006C055A" w:rsidRDefault="006C055A" w:rsidP="006C055A">
      <w:pPr>
        <w:spacing w:before="100" w:beforeAutospacing="1" w:after="100" w:afterAutospacing="1"/>
        <w:ind w:left="1416"/>
        <w:contextualSpacing/>
        <w:jc w:val="both"/>
        <w:rPr>
          <w:rFonts w:ascii="Arial" w:eastAsia="Times New Roman" w:hAnsi="Arial" w:cs="Arial"/>
          <w:lang w:eastAsia="es-ES"/>
        </w:rPr>
      </w:pPr>
      <w:r w:rsidRPr="006C055A">
        <w:rPr>
          <w:rFonts w:ascii="Arial" w:eastAsia="Times New Roman" w:hAnsi="Arial" w:cs="Arial"/>
          <w:lang w:eastAsia="es-ES"/>
        </w:rPr>
        <w:t xml:space="preserve">3º. El logo del Plan de Recuperación Transformación y Resiliencia disponible en el enlace </w:t>
      </w:r>
      <w:hyperlink r:id="rId9" w:history="1">
        <w:r w:rsidRPr="006C055A">
          <w:rPr>
            <w:rFonts w:ascii="Arial" w:eastAsia="Times New Roman" w:hAnsi="Arial" w:cs="Arial"/>
            <w:color w:val="0000FF"/>
            <w:u w:val="single"/>
            <w:lang w:eastAsia="es-ES"/>
          </w:rPr>
          <w:t>https://planderecuperacion.gob.es/identidad-visual</w:t>
        </w:r>
      </w:hyperlink>
    </w:p>
    <w:p w:rsidR="006C055A" w:rsidRPr="000B1B58" w:rsidRDefault="006C055A" w:rsidP="000B1B58">
      <w:pPr>
        <w:spacing w:before="100" w:beforeAutospacing="1" w:after="100" w:afterAutospacing="1"/>
        <w:ind w:left="1416"/>
        <w:contextualSpacing/>
        <w:jc w:val="both"/>
        <w:rPr>
          <w:rFonts w:ascii="Arial" w:eastAsia="Times New Roman" w:hAnsi="Arial" w:cs="Arial"/>
          <w:lang w:eastAsia="es-ES"/>
        </w:rPr>
      </w:pPr>
      <w:r w:rsidRPr="006C055A">
        <w:rPr>
          <w:rFonts w:ascii="Arial" w:eastAsia="Times New Roman" w:hAnsi="Arial" w:cs="Arial"/>
          <w:lang w:eastAsia="es-ES"/>
        </w:rPr>
        <w:t xml:space="preserve">4º. El logo oficial del Gobierno de Navarra (con la agenda 2030) disponible en el link </w:t>
      </w:r>
      <w:hyperlink r:id="rId10" w:history="1">
        <w:r w:rsidRPr="006C055A">
          <w:rPr>
            <w:rFonts w:ascii="Arial" w:eastAsia="Times New Roman" w:hAnsi="Arial" w:cs="Arial"/>
            <w:color w:val="0000FF"/>
            <w:u w:val="single"/>
            <w:lang w:eastAsia="es-ES"/>
          </w:rPr>
          <w:t>https://www.navarra.es/es/gobierno-de-navarra/simbolo-oficial</w:t>
        </w:r>
      </w:hyperlink>
      <w:r w:rsidRPr="006C055A">
        <w:rPr>
          <w:rFonts w:ascii="Arial" w:eastAsia="Times New Roman" w:hAnsi="Arial" w:cs="Arial"/>
          <w:lang w:eastAsia="es-ES"/>
        </w:rPr>
        <w:t xml:space="preserve">.    </w:t>
      </w:r>
    </w:p>
    <w:p w:rsidR="006C055A" w:rsidRPr="006C055A" w:rsidRDefault="006C055A" w:rsidP="006C055A">
      <w:pPr>
        <w:autoSpaceDE w:val="0"/>
        <w:autoSpaceDN w:val="0"/>
        <w:adjustRightInd w:val="0"/>
        <w:spacing w:after="160"/>
        <w:contextualSpacing/>
        <w:jc w:val="both"/>
        <w:rPr>
          <w:rFonts w:ascii="Arial" w:eastAsia="Calibri" w:hAnsi="Arial" w:cs="Arial"/>
        </w:rPr>
      </w:pPr>
    </w:p>
    <w:p w:rsidR="006C055A" w:rsidRPr="006C055A" w:rsidRDefault="006C055A" w:rsidP="006C055A">
      <w:pPr>
        <w:autoSpaceDE w:val="0"/>
        <w:autoSpaceDN w:val="0"/>
        <w:adjustRightInd w:val="0"/>
        <w:spacing w:after="160"/>
        <w:ind w:left="720"/>
        <w:jc w:val="both"/>
        <w:rPr>
          <w:rFonts w:ascii="Arial" w:eastAsia="Calibri" w:hAnsi="Arial" w:cs="Arial"/>
          <w:kern w:val="2"/>
        </w:rPr>
      </w:pPr>
      <w:r w:rsidRPr="006C055A">
        <w:rPr>
          <w:rFonts w:ascii="Arial" w:eastAsia="Calibri" w:hAnsi="Arial" w:cs="Arial"/>
          <w:kern w:val="2"/>
        </w:rPr>
        <w:t>Todos los carteles informativos y placas deberán colocarse en un lugar bien visible y de acceso al público</w:t>
      </w:r>
    </w:p>
    <w:p w:rsidR="006C055A" w:rsidRPr="006C055A" w:rsidRDefault="006C055A" w:rsidP="006C055A">
      <w:pPr>
        <w:numPr>
          <w:ilvl w:val="0"/>
          <w:numId w:val="1"/>
        </w:numPr>
        <w:autoSpaceDE w:val="0"/>
        <w:autoSpaceDN w:val="0"/>
        <w:adjustRightInd w:val="0"/>
        <w:spacing w:after="160" w:line="300" w:lineRule="atLeast"/>
        <w:contextualSpacing/>
        <w:jc w:val="both"/>
        <w:rPr>
          <w:rFonts w:ascii="Arial" w:eastAsia="Calibri" w:hAnsi="Arial" w:cs="Arial"/>
        </w:rPr>
      </w:pPr>
      <w:r w:rsidRPr="006C055A">
        <w:rPr>
          <w:rFonts w:ascii="Arial" w:eastAsia="Calibri" w:hAnsi="Arial" w:cs="Arial"/>
        </w:rPr>
        <w:t>La beneficiaria queda sometida a la totalidad de disposiciones comunitarias sobre el MRR, de acuerdo con la normativa que la Administración de la Comunidad Foral de Navarra y el Gobierno de España aprueben a este respecto.</w:t>
      </w:r>
    </w:p>
    <w:p w:rsidR="006964A8" w:rsidRDefault="000B1B58">
      <w:bookmarkStart w:id="0" w:name="_GoBack"/>
      <w:bookmarkEnd w:id="0"/>
    </w:p>
    <w:sectPr w:rsidR="006964A8" w:rsidSect="00F36995">
      <w:headerReference w:type="default" r:id="rId11"/>
      <w:footerReference w:type="default" r:id="rId12"/>
      <w:pgSz w:w="11906" w:h="16838" w:code="9"/>
      <w:pgMar w:top="2268" w:right="85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B1B58">
      <w:pPr>
        <w:spacing w:after="0" w:line="240" w:lineRule="auto"/>
      </w:pPr>
      <w:r>
        <w:separator/>
      </w:r>
    </w:p>
  </w:endnote>
  <w:endnote w:type="continuationSeparator" w:id="0">
    <w:p w:rsidR="00000000" w:rsidRDefault="000B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781" w:type="dxa"/>
      <w:tblLayout w:type="fixed"/>
      <w:tblCellMar>
        <w:left w:w="70" w:type="dxa"/>
        <w:right w:w="70" w:type="dxa"/>
      </w:tblCellMar>
      <w:tblLook w:val="0000" w:firstRow="0" w:lastRow="0" w:firstColumn="0" w:lastColumn="0" w:noHBand="0" w:noVBand="0"/>
    </w:tblPr>
    <w:tblGrid>
      <w:gridCol w:w="8222"/>
      <w:gridCol w:w="2127"/>
    </w:tblGrid>
    <w:tr w:rsidR="00F3333F" w:rsidTr="006470EE">
      <w:tc>
        <w:tcPr>
          <w:tcW w:w="8222" w:type="dxa"/>
        </w:tcPr>
        <w:p w:rsidR="00F3333F" w:rsidRPr="007C2738" w:rsidRDefault="006C055A" w:rsidP="00B6487B">
          <w:pPr>
            <w:pStyle w:val="Piedepgina"/>
            <w:tabs>
              <w:tab w:val="clear" w:pos="4252"/>
              <w:tab w:val="center" w:pos="5101"/>
            </w:tabs>
            <w:rPr>
              <w:rFonts w:cs="Arial"/>
              <w:sz w:val="14"/>
              <w:szCs w:val="14"/>
            </w:rPr>
          </w:pPr>
          <w:r w:rsidRPr="001E788F">
            <w:rPr>
              <w:rFonts w:cs="Arial"/>
              <w:szCs w:val="22"/>
            </w:rPr>
            <w:tab/>
          </w:r>
          <w:r w:rsidRPr="007C2738">
            <w:rPr>
              <w:rFonts w:cs="Arial"/>
              <w:sz w:val="14"/>
              <w:szCs w:val="14"/>
            </w:rPr>
            <w:t xml:space="preserve">Pág..: </w:t>
          </w:r>
          <w:r w:rsidRPr="00067EDE">
            <w:fldChar w:fldCharType="begin"/>
          </w:r>
          <w:r>
            <w:instrText xml:space="preserve"> PAGE  \* MERGEFORMAT </w:instrText>
          </w:r>
          <w:r w:rsidRPr="00067EDE">
            <w:fldChar w:fldCharType="separate"/>
          </w:r>
          <w:r w:rsidR="000B1B58" w:rsidRPr="000B1B58">
            <w:rPr>
              <w:rFonts w:cs="Arial"/>
              <w:noProof/>
              <w:sz w:val="14"/>
              <w:szCs w:val="14"/>
            </w:rPr>
            <w:t>1</w:t>
          </w:r>
          <w:r w:rsidRPr="00067EDE">
            <w:rPr>
              <w:rFonts w:cs="Arial"/>
              <w:noProof/>
              <w:sz w:val="14"/>
              <w:szCs w:val="14"/>
            </w:rPr>
            <w:fldChar w:fldCharType="end"/>
          </w:r>
          <w:r w:rsidRPr="007C2738">
            <w:rPr>
              <w:rFonts w:cs="Arial"/>
              <w:sz w:val="14"/>
              <w:szCs w:val="14"/>
            </w:rPr>
            <w:t>/</w:t>
          </w:r>
          <w:fldSimple w:instr=" NUMPAGES  \* MERGEFORMAT ">
            <w:r w:rsidR="000B1B58" w:rsidRPr="000B1B58">
              <w:rPr>
                <w:rFonts w:cs="Arial"/>
                <w:noProof/>
                <w:sz w:val="14"/>
                <w:szCs w:val="14"/>
              </w:rPr>
              <w:t>4</w:t>
            </w:r>
          </w:fldSimple>
        </w:p>
      </w:tc>
      <w:tc>
        <w:tcPr>
          <w:tcW w:w="2127" w:type="dxa"/>
        </w:tcPr>
        <w:p w:rsidR="00F3333F" w:rsidRPr="00CB4A1D" w:rsidRDefault="006C055A" w:rsidP="00B6487B">
          <w:pPr>
            <w:pStyle w:val="Piedepgina"/>
            <w:jc w:val="right"/>
            <w:rPr>
              <w:rFonts w:cs="Arial"/>
              <w:sz w:val="14"/>
            </w:rPr>
          </w:pPr>
          <w:r w:rsidRPr="00CB4A1D">
            <w:rPr>
              <w:rFonts w:cs="Arial"/>
              <w:sz w:val="14"/>
            </w:rPr>
            <w:t>EX.0</w:t>
          </w:r>
          <w:r>
            <w:rPr>
              <w:rFonts w:cs="Arial"/>
              <w:sz w:val="14"/>
            </w:rPr>
            <w:t>3</w:t>
          </w:r>
          <w:r w:rsidRPr="00CB4A1D">
            <w:rPr>
              <w:rFonts w:cs="Arial"/>
              <w:sz w:val="14"/>
            </w:rPr>
            <w:t>.000</w:t>
          </w:r>
          <w:r>
            <w:rPr>
              <w:rFonts w:cs="Arial"/>
              <w:sz w:val="14"/>
            </w:rPr>
            <w:t>1</w:t>
          </w:r>
          <w:r w:rsidRPr="00CB4A1D">
            <w:rPr>
              <w:rFonts w:cs="Arial"/>
              <w:sz w:val="14"/>
            </w:rPr>
            <w:t xml:space="preserve">  Rev.: 1</w:t>
          </w:r>
        </w:p>
      </w:tc>
    </w:tr>
  </w:tbl>
  <w:p w:rsidR="00F3333F" w:rsidRPr="007E7D22" w:rsidRDefault="000B1B58" w:rsidP="007E7D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B1B58">
      <w:pPr>
        <w:spacing w:after="0" w:line="240" w:lineRule="auto"/>
      </w:pPr>
      <w:r>
        <w:separator/>
      </w:r>
    </w:p>
  </w:footnote>
  <w:footnote w:type="continuationSeparator" w:id="0">
    <w:p w:rsidR="00000000" w:rsidRDefault="000B1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3F" w:rsidRDefault="006C055A" w:rsidP="00C86A90">
    <w:pPr>
      <w:pStyle w:val="Encabezado"/>
    </w:pPr>
    <w:r>
      <w:rPr>
        <w:noProof/>
        <w:lang w:eastAsia="es-ES"/>
      </w:rPr>
      <w:drawing>
        <wp:inline distT="0" distB="0" distL="0" distR="0" wp14:anchorId="2DB5A568" wp14:editId="2C975801">
          <wp:extent cx="5932805" cy="1101725"/>
          <wp:effectExtent l="0" t="0" r="0" b="0"/>
          <wp:docPr id="1" name="Imagen 1" descr="Logos Next 23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Next 23 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805" cy="1101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02508"/>
    <w:multiLevelType w:val="hybridMultilevel"/>
    <w:tmpl w:val="748EF518"/>
    <w:lvl w:ilvl="0" w:tplc="C66C9C60">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14"/>
    <w:rsid w:val="000B1B58"/>
    <w:rsid w:val="006C055A"/>
    <w:rsid w:val="00735C14"/>
    <w:rsid w:val="008B14D9"/>
    <w:rsid w:val="00C96A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9885"/>
  <w15:chartTrackingRefBased/>
  <w15:docId w15:val="{1F2D1A95-E6AD-467B-8A9B-C33AD685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C05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C055A"/>
  </w:style>
  <w:style w:type="paragraph" w:styleId="Piedepgina">
    <w:name w:val="footer"/>
    <w:basedOn w:val="Normal"/>
    <w:link w:val="PiedepginaCar"/>
    <w:rsid w:val="006C055A"/>
    <w:pPr>
      <w:tabs>
        <w:tab w:val="center" w:pos="4252"/>
        <w:tab w:val="right" w:pos="8504"/>
      </w:tabs>
      <w:spacing w:after="0" w:line="240" w:lineRule="auto"/>
      <w:jc w:val="both"/>
    </w:pPr>
    <w:rPr>
      <w:rFonts w:ascii="Arial" w:eastAsia="Times New Roman" w:hAnsi="Arial" w:cs="Times New Roman"/>
      <w:szCs w:val="24"/>
      <w:lang w:eastAsia="es-ES"/>
    </w:rPr>
  </w:style>
  <w:style w:type="character" w:customStyle="1" w:styleId="PiedepginaCar">
    <w:name w:val="Pie de página Car"/>
    <w:basedOn w:val="Fuentedeprrafopredeter"/>
    <w:link w:val="Piedepgina"/>
    <w:rsid w:val="006C055A"/>
    <w:rPr>
      <w:rFonts w:ascii="Arial" w:eastAsia="Times New Roman" w:hAnsi="Arial"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tur.gob.es/es-es/servicios/paginas/imageninstitucional.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nderecuperacion.gob.es/identidad-visua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varra.es/es/gobierno-de-navarra/simbolo-oficial" TargetMode="External"/><Relationship Id="rId4" Type="http://schemas.openxmlformats.org/officeDocument/2006/relationships/webSettings" Target="webSettings.xml"/><Relationship Id="rId9" Type="http://schemas.openxmlformats.org/officeDocument/2006/relationships/hyperlink" Target="https://planderecuperacion.gob.es/identidad-visu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2044</Words>
  <Characters>11247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Garde Sola, Carmen (Turismo)</dc:creator>
  <cp:keywords/>
  <dc:description/>
  <cp:lastModifiedBy>Ayesa Aristu, Malen (Turismo)</cp:lastModifiedBy>
  <cp:revision>3</cp:revision>
  <dcterms:created xsi:type="dcterms:W3CDTF">2025-03-04T09:59:00Z</dcterms:created>
  <dcterms:modified xsi:type="dcterms:W3CDTF">2025-03-20T09:18:00Z</dcterms:modified>
</cp:coreProperties>
</file>