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B5" w:rsidRPr="00D5115E" w:rsidRDefault="00B150B5" w:rsidP="00D5115E">
      <w:pPr>
        <w:pStyle w:val="Ttulo"/>
        <w:jc w:val="center"/>
        <w:rPr>
          <w:b/>
        </w:rPr>
      </w:pPr>
      <w:r w:rsidRPr="00D5115E">
        <w:rPr>
          <w:b/>
        </w:rPr>
        <w:t>Ayudas para realizar proyectos de innovación 2025</w:t>
      </w:r>
    </w:p>
    <w:p w:rsidR="0021263C" w:rsidRPr="00D94D01" w:rsidRDefault="0021263C" w:rsidP="00577A1E">
      <w:pPr>
        <w:jc w:val="both"/>
        <w:rPr>
          <w:rFonts w:ascii="Arial" w:hAnsi="Arial" w:cs="Arial"/>
        </w:rPr>
      </w:pPr>
    </w:p>
    <w:p w:rsidR="00310EC8" w:rsidRPr="00D94D01" w:rsidRDefault="00310EC8" w:rsidP="00310E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PREGUNTAS RECIBIDAS CON LA INSCRIPCIÓN HASTA EL </w:t>
      </w:r>
      <w:r w:rsidRPr="00D94D01">
        <w:rPr>
          <w:rFonts w:ascii="Arial" w:hAnsi="Arial" w:cs="Arial"/>
          <w:b/>
        </w:rPr>
        <w:t>29/01/025</w:t>
      </w:r>
    </w:p>
    <w:p w:rsidR="00310EC8" w:rsidRDefault="00310EC8" w:rsidP="00310EC8">
      <w:pPr>
        <w:jc w:val="both"/>
        <w:rPr>
          <w:rFonts w:ascii="Arial" w:hAnsi="Arial" w:cs="Arial"/>
        </w:rPr>
      </w:pPr>
      <w:r w:rsidRPr="00D94D01">
        <w:rPr>
          <w:rFonts w:ascii="Arial" w:hAnsi="Arial" w:cs="Arial"/>
        </w:rPr>
        <w:t xml:space="preserve">Comienzan en el vídeo a las </w:t>
      </w:r>
      <w:r>
        <w:rPr>
          <w:rFonts w:ascii="Arial" w:hAnsi="Arial" w:cs="Arial"/>
        </w:rPr>
        <w:t>37:37</w:t>
      </w:r>
      <w:r w:rsidRPr="00D94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minutos</w:t>
      </w:r>
    </w:p>
    <w:p w:rsidR="00310EC8" w:rsidRPr="00D94D01" w:rsidRDefault="00310EC8" w:rsidP="00310EC8">
      <w:pPr>
        <w:jc w:val="both"/>
        <w:rPr>
          <w:rFonts w:ascii="Arial" w:hAnsi="Arial" w:cs="Arial"/>
        </w:rPr>
      </w:pPr>
    </w:p>
    <w:p w:rsidR="00310EC8" w:rsidRPr="00D94D01" w:rsidRDefault="00310EC8" w:rsidP="00310EC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04DAC">
        <w:rPr>
          <w:rFonts w:ascii="Arial" w:hAnsi="Arial" w:cs="Arial"/>
        </w:rPr>
        <w:t>Me gustaría saber si es posible la subcontratación a Centros Tecnológicos que estén fuera de Navarra</w:t>
      </w:r>
      <w:r w:rsidRPr="00D94D01">
        <w:rPr>
          <w:rFonts w:ascii="Arial" w:hAnsi="Arial" w:cs="Arial"/>
        </w:rPr>
        <w:t>.</w:t>
      </w: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</w:rPr>
      </w:pP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310EC8" w:rsidRDefault="00310EC8" w:rsidP="00310EC8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Sí, es posible contratar Centros Tecnológicos y empresas de fuera de Navarra como colaboraciones externas, con las mismas limitaciones que cualquier otra colaboración o subcontratación (el total no puede exceder el 50% del presupuesto, </w:t>
      </w:r>
      <w:proofErr w:type="spellStart"/>
      <w:r>
        <w:rPr>
          <w:rFonts w:ascii="Arial" w:hAnsi="Arial" w:cs="Arial"/>
          <w:color w:val="0070C0"/>
        </w:rPr>
        <w:t>etc</w:t>
      </w:r>
      <w:proofErr w:type="spellEnd"/>
      <w:r>
        <w:rPr>
          <w:rFonts w:ascii="Arial" w:hAnsi="Arial" w:cs="Arial"/>
          <w:color w:val="0070C0"/>
        </w:rPr>
        <w:t>, base 12).</w:t>
      </w:r>
    </w:p>
    <w:p w:rsidR="00310EC8" w:rsidRDefault="00310EC8" w:rsidP="00310EC8">
      <w:pPr>
        <w:pStyle w:val="Prrafodelista"/>
        <w:jc w:val="both"/>
        <w:rPr>
          <w:rFonts w:ascii="Arial" w:hAnsi="Arial" w:cs="Arial"/>
          <w:color w:val="0070C0"/>
        </w:rPr>
      </w:pP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No obstante, no se recibirían puntos por el criterio de la base 10.1.h) </w:t>
      </w:r>
      <w:r w:rsidRPr="00B04DAC">
        <w:rPr>
          <w:rFonts w:ascii="Arial" w:hAnsi="Arial" w:cs="Arial"/>
          <w:color w:val="0070C0"/>
        </w:rPr>
        <w:t>Colaboración externa de agentes del SINAI en proyectos individuales o de colaboración entre empresas</w:t>
      </w: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  <w:color w:val="0070C0"/>
        </w:rPr>
      </w:pP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</w:rPr>
      </w:pPr>
    </w:p>
    <w:p w:rsidR="00310EC8" w:rsidRPr="00D94D01" w:rsidRDefault="00310EC8" w:rsidP="00310EC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04DAC">
        <w:rPr>
          <w:rFonts w:ascii="Arial" w:hAnsi="Arial" w:cs="Arial"/>
        </w:rPr>
        <w:t>on respecto a la partida de amortización de activos, todo lo referente a alquiler de espacio para la realización e integración de la prueba de uso, ¿se contempla como gasto subvencionable</w:t>
      </w:r>
      <w:r w:rsidRPr="00D94D01">
        <w:rPr>
          <w:rFonts w:ascii="Arial" w:hAnsi="Arial" w:cs="Arial"/>
        </w:rPr>
        <w:t>?</w:t>
      </w: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</w:rPr>
      </w:pPr>
    </w:p>
    <w:p w:rsidR="00310EC8" w:rsidRPr="00D94D01" w:rsidRDefault="00310EC8" w:rsidP="00310EC8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310EC8" w:rsidRDefault="00310EC8" w:rsidP="00310EC8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No. La adquisición de un espacio para la realización de un proyecto (bienes inmuebles) no está dentro de los gastos amortizables.</w:t>
      </w:r>
    </w:p>
    <w:p w:rsidR="007A2AC3" w:rsidRDefault="007A2AC3" w:rsidP="00310EC8">
      <w:pPr>
        <w:pStyle w:val="Prrafodelista"/>
        <w:jc w:val="both"/>
        <w:rPr>
          <w:rFonts w:ascii="Arial" w:hAnsi="Arial" w:cs="Arial"/>
          <w:color w:val="0070C0"/>
        </w:rPr>
      </w:pPr>
    </w:p>
    <w:p w:rsidR="007A2AC3" w:rsidRPr="007A2AC3" w:rsidRDefault="007A2AC3" w:rsidP="007A2AC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A2AC3">
        <w:rPr>
          <w:rFonts w:ascii="Arial" w:hAnsi="Arial" w:cs="Arial"/>
        </w:rPr>
        <w:t>¿Existe algún plazo mínimo de fecha de constitución de la sociedad?</w:t>
      </w:r>
    </w:p>
    <w:p w:rsidR="007A2AC3" w:rsidRPr="007A2AC3" w:rsidRDefault="007A2AC3" w:rsidP="007A2AC3">
      <w:pPr>
        <w:pStyle w:val="Prrafodelista"/>
        <w:jc w:val="both"/>
        <w:rPr>
          <w:rFonts w:ascii="Arial" w:hAnsi="Arial" w:cs="Arial"/>
        </w:rPr>
      </w:pPr>
    </w:p>
    <w:p w:rsidR="007A2AC3" w:rsidRPr="007A2AC3" w:rsidRDefault="007A2AC3" w:rsidP="007A2AC3">
      <w:pPr>
        <w:pStyle w:val="Prrafodelista"/>
        <w:jc w:val="both"/>
        <w:rPr>
          <w:rFonts w:ascii="Arial" w:hAnsi="Arial" w:cs="Arial"/>
        </w:rPr>
      </w:pPr>
    </w:p>
    <w:p w:rsidR="007A2AC3" w:rsidRPr="007A2AC3" w:rsidRDefault="007A2AC3" w:rsidP="007A2AC3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7A2AC3">
        <w:rPr>
          <w:rFonts w:ascii="Arial" w:hAnsi="Arial" w:cs="Arial"/>
          <w:b/>
          <w:color w:val="FF0000"/>
        </w:rPr>
        <w:t>RESPUESTA:</w:t>
      </w:r>
    </w:p>
    <w:p w:rsidR="007A2AC3" w:rsidRPr="007A2AC3" w:rsidRDefault="007A2AC3" w:rsidP="007A2AC3">
      <w:pPr>
        <w:pStyle w:val="Prrafodelista"/>
        <w:jc w:val="both"/>
        <w:rPr>
          <w:rFonts w:ascii="Arial" w:hAnsi="Arial" w:cs="Arial"/>
          <w:color w:val="0070C0"/>
        </w:rPr>
      </w:pPr>
      <w:r w:rsidRPr="007A2AC3">
        <w:rPr>
          <w:rFonts w:ascii="Arial" w:hAnsi="Arial" w:cs="Arial"/>
          <w:color w:val="0070C0"/>
        </w:rPr>
        <w:t>Interpretando que la solicitante es una empresa de nueva creación, los requisitos a cumplir por las beneficiarias deben cumplirse, en principio, en el momento de la solicitud, ese sería el plazo.</w:t>
      </w:r>
    </w:p>
    <w:p w:rsidR="007A2AC3" w:rsidRDefault="007A2AC3" w:rsidP="00310EC8">
      <w:pPr>
        <w:pStyle w:val="Prrafodelista"/>
        <w:jc w:val="both"/>
        <w:rPr>
          <w:rFonts w:ascii="Arial" w:hAnsi="Arial" w:cs="Arial"/>
          <w:color w:val="0070C0"/>
        </w:rPr>
      </w:pPr>
    </w:p>
    <w:p w:rsidR="00310EC8" w:rsidRDefault="00310EC8" w:rsidP="00310EC8">
      <w:pPr>
        <w:pStyle w:val="Prrafodelista"/>
        <w:jc w:val="both"/>
        <w:rPr>
          <w:rFonts w:ascii="Arial" w:hAnsi="Arial" w:cs="Arial"/>
          <w:color w:val="0070C0"/>
        </w:rPr>
      </w:pPr>
    </w:p>
    <w:p w:rsidR="0021263C" w:rsidRPr="00D94D01" w:rsidRDefault="0021263C" w:rsidP="0021263C">
      <w:pPr>
        <w:jc w:val="both"/>
        <w:rPr>
          <w:rFonts w:ascii="Arial" w:hAnsi="Arial" w:cs="Arial"/>
          <w:b/>
        </w:rPr>
      </w:pPr>
      <w:r w:rsidRPr="00D94D01">
        <w:rPr>
          <w:rFonts w:ascii="Arial" w:hAnsi="Arial" w:cs="Arial"/>
          <w:b/>
        </w:rPr>
        <w:t>PREGUNTAS REGISTRADAS EN EL CHAT</w:t>
      </w:r>
      <w:r w:rsidR="00D94D01" w:rsidRPr="00D94D01">
        <w:rPr>
          <w:rFonts w:ascii="Arial" w:hAnsi="Arial" w:cs="Arial"/>
          <w:b/>
        </w:rPr>
        <w:t xml:space="preserve"> el </w:t>
      </w:r>
      <w:r w:rsidR="00B04DAC">
        <w:rPr>
          <w:rFonts w:ascii="Arial" w:hAnsi="Arial" w:cs="Arial"/>
          <w:b/>
        </w:rPr>
        <w:t>25</w:t>
      </w:r>
      <w:r w:rsidR="00D94D01" w:rsidRPr="00D94D01">
        <w:rPr>
          <w:rFonts w:ascii="Arial" w:hAnsi="Arial" w:cs="Arial"/>
          <w:b/>
        </w:rPr>
        <w:t xml:space="preserve"> de </w:t>
      </w:r>
      <w:r w:rsidR="00B04DAC">
        <w:rPr>
          <w:rFonts w:ascii="Arial" w:hAnsi="Arial" w:cs="Arial"/>
          <w:b/>
        </w:rPr>
        <w:t>febrer</w:t>
      </w:r>
      <w:r w:rsidR="00D94D01" w:rsidRPr="00D94D01">
        <w:rPr>
          <w:rFonts w:ascii="Arial" w:hAnsi="Arial" w:cs="Arial"/>
          <w:b/>
        </w:rPr>
        <w:t>o de 2025.</w:t>
      </w:r>
    </w:p>
    <w:p w:rsidR="008D1E6C" w:rsidRPr="00D94D01" w:rsidRDefault="008D1E6C" w:rsidP="0021263C">
      <w:pPr>
        <w:jc w:val="both"/>
        <w:rPr>
          <w:rFonts w:ascii="Arial" w:hAnsi="Arial" w:cs="Arial"/>
        </w:rPr>
      </w:pPr>
    </w:p>
    <w:p w:rsidR="00AD2B94" w:rsidRPr="00AD2B94" w:rsidRDefault="00AD2B94" w:rsidP="00AD2B9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D2B94">
        <w:rPr>
          <w:rFonts w:ascii="Arial" w:hAnsi="Arial" w:cs="Arial"/>
        </w:rPr>
        <w:t>Si sobra dinero de una de las modalidades, habéis comentado que se reparte entre los que han tenido mayor puntuación, PERO ¿dentro de la misma modalidad?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AD2B94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>Base 9</w:t>
      </w:r>
      <w:r w:rsidRPr="0053627E">
        <w:rPr>
          <w:rFonts w:ascii="Arial" w:hAnsi="Arial" w:cs="Arial"/>
          <w:color w:val="0070C0"/>
        </w:rPr>
        <w:t>.</w:t>
      </w:r>
      <w:r>
        <w:rPr>
          <w:rFonts w:ascii="Arial" w:hAnsi="Arial" w:cs="Arial"/>
          <w:color w:val="0070C0"/>
        </w:rPr>
        <w:t xml:space="preserve"> </w:t>
      </w:r>
      <w:r w:rsidRPr="00AD2B94">
        <w:rPr>
          <w:rFonts w:ascii="Arial" w:hAnsi="Arial" w:cs="Arial"/>
          <w:color w:val="0070C0"/>
        </w:rPr>
        <w:t>Si existiera crédito tras atender las solicitudes de las dos primeras modalidades, éste podrá destinarse a subvencionar proyectos de la tercera modalidad y, en último caso, el crédito aún sobrante se podrá destinar a proyectos de cualquier modalidad, siempre siguiendo el orden de la prelación</w:t>
      </w:r>
      <w:r>
        <w:rPr>
          <w:rFonts w:ascii="Arial" w:hAnsi="Arial" w:cs="Arial"/>
          <w:color w:val="0070C0"/>
        </w:rPr>
        <w:t>.</w:t>
      </w:r>
    </w:p>
    <w:p w:rsidR="000A0D82" w:rsidRDefault="000A0D82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0A0D82" w:rsidRDefault="000A0D82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Se detalla de forma más explícita que en directo:</w:t>
      </w:r>
    </w:p>
    <w:p w:rsidR="004E67EB" w:rsidRDefault="004E67EB" w:rsidP="00E065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Los proyectos se ordenan por nota separados por las tres modalidades.</w:t>
      </w:r>
    </w:p>
    <w:p w:rsidR="00EF69AD" w:rsidRDefault="00E065F1" w:rsidP="00E065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</w:t>
      </w:r>
      <w:r w:rsidR="00EF69AD">
        <w:rPr>
          <w:rFonts w:ascii="Arial" w:hAnsi="Arial" w:cs="Arial"/>
          <w:color w:val="0070C0"/>
        </w:rPr>
        <w:t>e resuelve el reparto por cada modalidad por separado</w:t>
      </w:r>
      <w:r>
        <w:rPr>
          <w:rFonts w:ascii="Arial" w:hAnsi="Arial" w:cs="Arial"/>
          <w:color w:val="0070C0"/>
        </w:rPr>
        <w:t xml:space="preserve"> hasta los límites establecidos (individual 3.500.000, colaboración 4.000</w:t>
      </w:r>
      <w:r w:rsidR="00EF69AD">
        <w:rPr>
          <w:rFonts w:ascii="Arial" w:hAnsi="Arial" w:cs="Arial"/>
          <w:color w:val="0070C0"/>
        </w:rPr>
        <w:t>.</w:t>
      </w:r>
      <w:r>
        <w:rPr>
          <w:rFonts w:ascii="Arial" w:hAnsi="Arial" w:cs="Arial"/>
          <w:color w:val="0070C0"/>
        </w:rPr>
        <w:t>000 y transferencia 3.500.000).</w:t>
      </w:r>
    </w:p>
    <w:p w:rsidR="006F0C23" w:rsidRDefault="006F0C23" w:rsidP="00E065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Se comprueba si hay empresas con proyectos concedidos en la misma modalidad y en su caso se excluye el peor valorado.</w:t>
      </w:r>
    </w:p>
    <w:p w:rsidR="00EF69AD" w:rsidRDefault="00E065F1" w:rsidP="00E065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</w:t>
      </w:r>
      <w:r w:rsidR="009C3AEA">
        <w:rPr>
          <w:rFonts w:ascii="Arial" w:hAnsi="Arial" w:cs="Arial"/>
          <w:color w:val="0070C0"/>
        </w:rPr>
        <w:t xml:space="preserve">i sobra presupuesto de individual o colaboración </w:t>
      </w:r>
      <w:r>
        <w:rPr>
          <w:rFonts w:ascii="Arial" w:hAnsi="Arial" w:cs="Arial"/>
          <w:color w:val="0070C0"/>
        </w:rPr>
        <w:t xml:space="preserve">teniendo en cuenta los límites </w:t>
      </w:r>
      <w:r w:rsidR="009C3AEA">
        <w:rPr>
          <w:rFonts w:ascii="Arial" w:hAnsi="Arial" w:cs="Arial"/>
          <w:color w:val="0070C0"/>
        </w:rPr>
        <w:t>anteriores</w:t>
      </w:r>
      <w:r>
        <w:rPr>
          <w:rFonts w:ascii="Arial" w:hAnsi="Arial" w:cs="Arial"/>
          <w:color w:val="0070C0"/>
        </w:rPr>
        <w:t xml:space="preserve">, se </w:t>
      </w:r>
      <w:r w:rsidR="009C3AEA">
        <w:rPr>
          <w:rFonts w:ascii="Arial" w:hAnsi="Arial" w:cs="Arial"/>
          <w:color w:val="0070C0"/>
        </w:rPr>
        <w:t>pasa de una</w:t>
      </w:r>
      <w:r w:rsidR="006F0C23">
        <w:rPr>
          <w:rFonts w:ascii="Arial" w:hAnsi="Arial" w:cs="Arial"/>
          <w:color w:val="0070C0"/>
        </w:rPr>
        <w:t xml:space="preserve"> modalidad</w:t>
      </w:r>
      <w:r w:rsidR="009C3AEA">
        <w:rPr>
          <w:rFonts w:ascii="Arial" w:hAnsi="Arial" w:cs="Arial"/>
          <w:color w:val="0070C0"/>
        </w:rPr>
        <w:t xml:space="preserve"> a </w:t>
      </w:r>
      <w:r w:rsidR="004E67EB">
        <w:rPr>
          <w:rFonts w:ascii="Arial" w:hAnsi="Arial" w:cs="Arial"/>
          <w:color w:val="0070C0"/>
        </w:rPr>
        <w:t>la otra.</w:t>
      </w:r>
    </w:p>
    <w:p w:rsidR="000A0D82" w:rsidRDefault="004E67EB" w:rsidP="00E065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Si queda disponible en individual o </w:t>
      </w:r>
      <w:r w:rsidR="000A0D82">
        <w:rPr>
          <w:rFonts w:ascii="Arial" w:hAnsi="Arial" w:cs="Arial"/>
          <w:color w:val="0070C0"/>
        </w:rPr>
        <w:t xml:space="preserve">colaboración </w:t>
      </w:r>
      <w:r>
        <w:rPr>
          <w:rFonts w:ascii="Arial" w:hAnsi="Arial" w:cs="Arial"/>
          <w:color w:val="0070C0"/>
        </w:rPr>
        <w:t>tras la concesión anterior, se destina a</w:t>
      </w:r>
      <w:r w:rsidR="000A0D82">
        <w:rPr>
          <w:rFonts w:ascii="Arial" w:hAnsi="Arial" w:cs="Arial"/>
          <w:color w:val="0070C0"/>
        </w:rPr>
        <w:t xml:space="preserve"> transferencia</w:t>
      </w:r>
      <w:r>
        <w:rPr>
          <w:rFonts w:ascii="Arial" w:hAnsi="Arial" w:cs="Arial"/>
          <w:color w:val="0070C0"/>
        </w:rPr>
        <w:t>.</w:t>
      </w:r>
    </w:p>
    <w:p w:rsidR="004E67EB" w:rsidRDefault="004E67EB" w:rsidP="00E065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Si hay más presupuesto porque sobre en transferencia o porque se haya ampliado el presupuesto (hasta 2.000.000 euros), se conceden a los proyectos con mejor nota, independientemente de su modalidad.</w:t>
      </w:r>
    </w:p>
    <w:p w:rsidR="00DB4364" w:rsidRDefault="00DB4364" w:rsidP="00DB436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Si todavía quedase disponible, se </w:t>
      </w:r>
      <w:r w:rsidR="006F0C23">
        <w:rPr>
          <w:rFonts w:ascii="Arial" w:hAnsi="Arial" w:cs="Arial"/>
          <w:color w:val="0070C0"/>
        </w:rPr>
        <w:t>conceden los proyectos excluidos en el punto 3 siguiendo la base 7.2.b).</w:t>
      </w:r>
    </w:p>
    <w:p w:rsidR="00AD2B94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Default="00AD2B94" w:rsidP="00AD2B9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D2B94">
        <w:rPr>
          <w:rFonts w:ascii="Arial" w:hAnsi="Arial" w:cs="Arial"/>
        </w:rPr>
        <w:t>n la partida de colaboraciones externas, entiendo que, bajo la modalidad de subcontratación, ¿se puede subcontratar un centro que no sea agente d</w:t>
      </w:r>
      <w:r>
        <w:rPr>
          <w:rFonts w:ascii="Arial" w:hAnsi="Arial" w:cs="Arial"/>
        </w:rPr>
        <w:t>el SINAI por su excepcionalidad</w:t>
      </w:r>
      <w:r w:rsidRPr="00D94D01">
        <w:rPr>
          <w:rFonts w:ascii="Arial" w:hAnsi="Arial" w:cs="Arial"/>
        </w:rPr>
        <w:t>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AD2B94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Sí,</w:t>
      </w:r>
      <w:r w:rsidR="003039A1">
        <w:rPr>
          <w:rFonts w:ascii="Arial" w:hAnsi="Arial" w:cs="Arial"/>
          <w:color w:val="0070C0"/>
        </w:rPr>
        <w:t xml:space="preserve"> guarda relación con la pregunta 1. N</w:t>
      </w:r>
      <w:r>
        <w:rPr>
          <w:rFonts w:ascii="Arial" w:hAnsi="Arial" w:cs="Arial"/>
          <w:color w:val="0070C0"/>
        </w:rPr>
        <w:t>o hay límite en cuando a la contratación de empresas u organismos, aunque siempre respetando el límite del 50% del presupuesto y resto de condiciones a cumplir de la base 12 en particular</w:t>
      </w:r>
      <w:r w:rsidRPr="0053627E">
        <w:rPr>
          <w:rFonts w:ascii="Arial" w:hAnsi="Arial" w:cs="Arial"/>
          <w:color w:val="0070C0"/>
        </w:rPr>
        <w:t>.</w:t>
      </w:r>
      <w:r w:rsidR="0008462B">
        <w:rPr>
          <w:rFonts w:ascii="Arial" w:hAnsi="Arial" w:cs="Arial"/>
          <w:color w:val="0070C0"/>
        </w:rPr>
        <w:t xml:space="preserve"> Y si no es agente del SINAI, no tendría los puntos.</w:t>
      </w: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Default="0025339A" w:rsidP="00AD2B9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5339A">
        <w:rPr>
          <w:rFonts w:ascii="Arial" w:hAnsi="Arial" w:cs="Arial"/>
        </w:rPr>
        <w:t>¿En colaboraciones externas, hay incompatibilidad con empresas vinculadas entre sí</w:t>
      </w:r>
      <w:r w:rsidR="00AD2B94" w:rsidRPr="00D94D01">
        <w:rPr>
          <w:rFonts w:ascii="Arial" w:hAnsi="Arial" w:cs="Arial"/>
        </w:rPr>
        <w:t>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87331B" w:rsidRDefault="0008462B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 hay incompatibilidad, podemos contratar</w:t>
      </w:r>
      <w:r w:rsidR="0025339A">
        <w:rPr>
          <w:rFonts w:ascii="Arial" w:hAnsi="Arial" w:cs="Arial"/>
          <w:color w:val="0070C0"/>
        </w:rPr>
        <w:t xml:space="preserve"> empresas vinculadas</w:t>
      </w:r>
      <w:r>
        <w:rPr>
          <w:rFonts w:ascii="Arial" w:hAnsi="Arial" w:cs="Arial"/>
          <w:color w:val="0070C0"/>
        </w:rPr>
        <w:t xml:space="preserve"> como colaboración externa, no hay ningún problema. Se abona la factura de la empresa vinculada y se recibirá el % de intensidad de ayuda </w:t>
      </w:r>
      <w:r w:rsidR="0087331B">
        <w:rPr>
          <w:rFonts w:ascii="Arial" w:hAnsi="Arial" w:cs="Arial"/>
          <w:color w:val="0070C0"/>
        </w:rPr>
        <w:t>correspondiente al gasto.</w:t>
      </w:r>
    </w:p>
    <w:p w:rsidR="0087331B" w:rsidRDefault="0087331B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Default="0087331B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 obstante, se deberán cumplir</w:t>
      </w:r>
      <w:r w:rsidR="0025339A">
        <w:rPr>
          <w:rFonts w:ascii="Arial" w:hAnsi="Arial" w:cs="Arial"/>
          <w:color w:val="0070C0"/>
        </w:rPr>
        <w:t xml:space="preserve"> las circunstancias </w:t>
      </w:r>
      <w:r>
        <w:rPr>
          <w:rFonts w:ascii="Arial" w:hAnsi="Arial" w:cs="Arial"/>
          <w:color w:val="0070C0"/>
        </w:rPr>
        <w:t>de la base 12, (justificación como si fuese la beneficiaria…)</w:t>
      </w:r>
      <w:r w:rsidR="0025339A">
        <w:rPr>
          <w:rFonts w:ascii="Arial" w:hAnsi="Arial" w:cs="Arial"/>
          <w:color w:val="0070C0"/>
        </w:rPr>
        <w:t>, además de que la suma de colaboraciones externas cumpla el límite del 50% del presupuesto</w:t>
      </w:r>
      <w:r w:rsidR="00AD2B94" w:rsidRPr="0053627E">
        <w:rPr>
          <w:rFonts w:ascii="Arial" w:hAnsi="Arial" w:cs="Arial"/>
          <w:color w:val="0070C0"/>
        </w:rPr>
        <w:t>.</w:t>
      </w:r>
    </w:p>
    <w:p w:rsidR="0025339A" w:rsidRDefault="0025339A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25339A" w:rsidRDefault="0025339A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Si se entendiese esa “incompatibilidad” como posibilidad para participar como socios en un proyecto (no como colaboraciones externas), las empresas</w:t>
      </w:r>
      <w:r w:rsidR="006D055F">
        <w:rPr>
          <w:rFonts w:ascii="Arial" w:hAnsi="Arial" w:cs="Arial"/>
          <w:color w:val="0070C0"/>
        </w:rPr>
        <w:t xml:space="preserve"> vinculadas</w:t>
      </w:r>
      <w:r w:rsidR="0087331B">
        <w:rPr>
          <w:rFonts w:ascii="Arial" w:hAnsi="Arial" w:cs="Arial"/>
          <w:color w:val="0070C0"/>
        </w:rPr>
        <w:t xml:space="preserve"> no</w:t>
      </w:r>
      <w:r>
        <w:rPr>
          <w:rFonts w:ascii="Arial" w:hAnsi="Arial" w:cs="Arial"/>
          <w:color w:val="0070C0"/>
        </w:rPr>
        <w:t xml:space="preserve"> podrían participar</w:t>
      </w:r>
      <w:r w:rsidR="0087331B">
        <w:rPr>
          <w:rFonts w:ascii="Arial" w:hAnsi="Arial" w:cs="Arial"/>
          <w:color w:val="0070C0"/>
        </w:rPr>
        <w:t xml:space="preserve"> solo ellas</w:t>
      </w:r>
      <w:r w:rsidR="006D055F">
        <w:rPr>
          <w:rFonts w:ascii="Arial" w:hAnsi="Arial" w:cs="Arial"/>
          <w:color w:val="0070C0"/>
        </w:rPr>
        <w:t xml:space="preserve"> porque incumplirían el concepto de “colaboración efectiva entre al menos dos partes independientes”</w:t>
      </w:r>
      <w:r w:rsidR="0087331B">
        <w:rPr>
          <w:rFonts w:ascii="Arial" w:hAnsi="Arial" w:cs="Arial"/>
          <w:color w:val="0070C0"/>
        </w:rPr>
        <w:t xml:space="preserve">, </w:t>
      </w:r>
      <w:r w:rsidR="006D055F">
        <w:rPr>
          <w:rFonts w:ascii="Arial" w:hAnsi="Arial" w:cs="Arial"/>
          <w:color w:val="0070C0"/>
        </w:rPr>
        <w:t>aunque</w:t>
      </w:r>
      <w:r w:rsidR="0087331B">
        <w:rPr>
          <w:rFonts w:ascii="Arial" w:hAnsi="Arial" w:cs="Arial"/>
          <w:color w:val="0070C0"/>
        </w:rPr>
        <w:t xml:space="preserve"> si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lastRenderedPageBreak/>
        <w:t>hubiese al menos una tercera</w:t>
      </w:r>
      <w:r w:rsidR="006D055F">
        <w:rPr>
          <w:rFonts w:ascii="Arial" w:hAnsi="Arial" w:cs="Arial"/>
          <w:color w:val="0070C0"/>
        </w:rPr>
        <w:t xml:space="preserve"> parte</w:t>
      </w:r>
      <w:r>
        <w:rPr>
          <w:rFonts w:ascii="Arial" w:hAnsi="Arial" w:cs="Arial"/>
          <w:color w:val="0070C0"/>
        </w:rPr>
        <w:t xml:space="preserve"> independiente</w:t>
      </w:r>
      <w:r w:rsidR="006D055F">
        <w:rPr>
          <w:rFonts w:ascii="Arial" w:hAnsi="Arial" w:cs="Arial"/>
          <w:color w:val="0070C0"/>
        </w:rPr>
        <w:t xml:space="preserve"> de ellas sí podrían realizar un proyecto</w:t>
      </w:r>
      <w:r>
        <w:rPr>
          <w:rFonts w:ascii="Arial" w:hAnsi="Arial" w:cs="Arial"/>
          <w:color w:val="0070C0"/>
        </w:rPr>
        <w:t>.</w:t>
      </w: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636643" w:rsidRDefault="0025339A" w:rsidP="006366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5339A">
        <w:rPr>
          <w:rFonts w:ascii="Arial" w:hAnsi="Arial" w:cs="Arial"/>
        </w:rPr>
        <w:t>¿El socio responsable de difusión, podría imputar horas de técnicos de comunicación en gastos de personal?</w:t>
      </w:r>
      <w:r w:rsidR="00636643">
        <w:rPr>
          <w:rFonts w:ascii="Arial" w:hAnsi="Arial" w:cs="Arial"/>
        </w:rPr>
        <w:t xml:space="preserve"> </w:t>
      </w:r>
      <w:r w:rsidR="00636643" w:rsidRPr="0025339A">
        <w:rPr>
          <w:rFonts w:ascii="Arial" w:hAnsi="Arial" w:cs="Arial"/>
        </w:rPr>
        <w:t>¿Para gestionar la producción del vídeo o la organización de eventos se necesitaría el trabajo de este personal?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A03A12" w:rsidRDefault="00A03A12" w:rsidP="00A03A12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En el seminario se dijo que se daría respuesta común para esta convocatoria y la de proyectos estratégicos</w:t>
      </w:r>
      <w:r w:rsidR="00A777D1">
        <w:rPr>
          <w:rFonts w:ascii="Arial" w:hAnsi="Arial" w:cs="Arial"/>
          <w:color w:val="0070C0"/>
        </w:rPr>
        <w:t>, la respuesta común es la siguiente</w:t>
      </w:r>
      <w:r>
        <w:rPr>
          <w:rFonts w:ascii="Arial" w:hAnsi="Arial" w:cs="Arial"/>
          <w:color w:val="0070C0"/>
        </w:rPr>
        <w:t>:</w:t>
      </w:r>
    </w:p>
    <w:p w:rsidR="00AC60C6" w:rsidRDefault="00AC60C6" w:rsidP="00AD2B94">
      <w:pPr>
        <w:pStyle w:val="Prrafodelista"/>
        <w:jc w:val="both"/>
        <w:rPr>
          <w:rFonts w:ascii="Arial" w:hAnsi="Arial" w:cs="Arial"/>
          <w:color w:val="0070C0"/>
        </w:rPr>
      </w:pPr>
      <w:r w:rsidRPr="007A2AC3">
        <w:rPr>
          <w:rFonts w:ascii="Arial" w:hAnsi="Arial" w:cs="Arial"/>
          <w:color w:val="0070C0"/>
        </w:rPr>
        <w:t xml:space="preserve">Los gastos de difusión están en la partida de otros gastos y </w:t>
      </w:r>
      <w:r w:rsidR="00A03A12">
        <w:rPr>
          <w:rFonts w:ascii="Arial" w:hAnsi="Arial" w:cs="Arial"/>
          <w:color w:val="0070C0"/>
        </w:rPr>
        <w:t xml:space="preserve">no </w:t>
      </w:r>
      <w:r w:rsidRPr="007A2AC3">
        <w:rPr>
          <w:rFonts w:ascii="Arial" w:hAnsi="Arial" w:cs="Arial"/>
          <w:color w:val="0070C0"/>
        </w:rPr>
        <w:t xml:space="preserve">pueden </w:t>
      </w:r>
      <w:r w:rsidR="006D055F">
        <w:rPr>
          <w:rFonts w:ascii="Arial" w:hAnsi="Arial" w:cs="Arial"/>
          <w:color w:val="0070C0"/>
        </w:rPr>
        <w:t xml:space="preserve">incluir </w:t>
      </w:r>
      <w:r w:rsidRPr="007A2AC3">
        <w:rPr>
          <w:rFonts w:ascii="Arial" w:hAnsi="Arial" w:cs="Arial"/>
          <w:color w:val="0070C0"/>
        </w:rPr>
        <w:t>gastos de personal</w:t>
      </w:r>
      <w:r w:rsidR="006D055F">
        <w:rPr>
          <w:rFonts w:ascii="Arial" w:hAnsi="Arial" w:cs="Arial"/>
          <w:color w:val="0070C0"/>
        </w:rPr>
        <w:t xml:space="preserve"> propio de la empresa ni de autónomos societarios (aquellos que se meten en la partida de personal)</w:t>
      </w:r>
      <w:r w:rsidRPr="007A2AC3">
        <w:rPr>
          <w:rFonts w:ascii="Arial" w:hAnsi="Arial" w:cs="Arial"/>
          <w:color w:val="0070C0"/>
        </w:rPr>
        <w:t xml:space="preserve">. </w:t>
      </w:r>
      <w:r w:rsidR="006D055F">
        <w:rPr>
          <w:rFonts w:ascii="Arial" w:hAnsi="Arial" w:cs="Arial"/>
          <w:color w:val="0070C0"/>
        </w:rPr>
        <w:t>Los gastos imputados en la p</w:t>
      </w:r>
      <w:r w:rsidRPr="007A2AC3">
        <w:rPr>
          <w:rFonts w:ascii="Arial" w:hAnsi="Arial" w:cs="Arial"/>
          <w:color w:val="0070C0"/>
        </w:rPr>
        <w:t xml:space="preserve">artida de otros </w:t>
      </w:r>
      <w:r w:rsidR="00A03A12">
        <w:rPr>
          <w:rFonts w:ascii="Arial" w:hAnsi="Arial" w:cs="Arial"/>
          <w:color w:val="0070C0"/>
        </w:rPr>
        <w:t>gasto</w:t>
      </w:r>
      <w:r w:rsidRPr="007A2AC3">
        <w:rPr>
          <w:rFonts w:ascii="Arial" w:hAnsi="Arial" w:cs="Arial"/>
          <w:color w:val="0070C0"/>
        </w:rPr>
        <w:t>s</w:t>
      </w:r>
      <w:r w:rsidR="0025339A" w:rsidRPr="007A2AC3">
        <w:rPr>
          <w:rFonts w:ascii="Arial" w:hAnsi="Arial" w:cs="Arial"/>
          <w:color w:val="0070C0"/>
        </w:rPr>
        <w:t xml:space="preserve"> </w:t>
      </w:r>
      <w:r w:rsidR="00A03A12">
        <w:rPr>
          <w:rFonts w:ascii="Arial" w:hAnsi="Arial" w:cs="Arial"/>
          <w:color w:val="0070C0"/>
        </w:rPr>
        <w:t>se</w:t>
      </w:r>
      <w:r w:rsidR="0025339A" w:rsidRPr="007A2AC3">
        <w:rPr>
          <w:rFonts w:ascii="Arial" w:hAnsi="Arial" w:cs="Arial"/>
          <w:color w:val="0070C0"/>
        </w:rPr>
        <w:t xml:space="preserve"> justific</w:t>
      </w:r>
      <w:r w:rsidR="00A03A12">
        <w:rPr>
          <w:rFonts w:ascii="Arial" w:hAnsi="Arial" w:cs="Arial"/>
          <w:color w:val="0070C0"/>
        </w:rPr>
        <w:t>an</w:t>
      </w:r>
      <w:r w:rsidR="0025339A" w:rsidRPr="007A2AC3">
        <w:rPr>
          <w:rFonts w:ascii="Arial" w:hAnsi="Arial" w:cs="Arial"/>
          <w:color w:val="0070C0"/>
        </w:rPr>
        <w:t xml:space="preserve"> mediante facturas</w:t>
      </w:r>
      <w:r w:rsidR="00AD2B94" w:rsidRPr="007A2AC3">
        <w:rPr>
          <w:rFonts w:ascii="Arial" w:hAnsi="Arial" w:cs="Arial"/>
          <w:color w:val="0070C0"/>
        </w:rPr>
        <w:t>.</w:t>
      </w:r>
    </w:p>
    <w:p w:rsidR="006D055F" w:rsidRDefault="006D055F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Se puede comparar con el g</w:t>
      </w:r>
      <w:r w:rsidRPr="006D055F">
        <w:rPr>
          <w:rFonts w:ascii="Arial" w:hAnsi="Arial" w:cs="Arial"/>
          <w:color w:val="0070C0"/>
        </w:rPr>
        <w:t>asto de gestión administrativa y financiera</w:t>
      </w:r>
      <w:r>
        <w:rPr>
          <w:rFonts w:ascii="Arial" w:hAnsi="Arial" w:cs="Arial"/>
          <w:color w:val="0070C0"/>
        </w:rPr>
        <w:t>, que está incluido en ambas partidas.</w:t>
      </w:r>
    </w:p>
    <w:p w:rsidR="006D055F" w:rsidRPr="007A2AC3" w:rsidRDefault="006D055F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Default="00636643" w:rsidP="006366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636643">
        <w:rPr>
          <w:rFonts w:ascii="Arial" w:hAnsi="Arial" w:cs="Arial"/>
        </w:rPr>
        <w:t>Si una empresa se ha beneficiado de un proyecto estratégico colaborativo, se considera que ya ha recibido previamente estas ayudas</w:t>
      </w:r>
      <w:r w:rsidR="0025339A" w:rsidRPr="0025339A">
        <w:rPr>
          <w:rFonts w:ascii="Arial" w:hAnsi="Arial" w:cs="Arial"/>
        </w:rPr>
        <w:t>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636643" w:rsidRDefault="00636643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Base 10.1.g) </w:t>
      </w:r>
      <w:r w:rsidRPr="00636643">
        <w:rPr>
          <w:rFonts w:ascii="Arial" w:hAnsi="Arial" w:cs="Arial"/>
          <w:color w:val="0070C0"/>
        </w:rPr>
        <w:t>Participación de una empresa que se beneficia por primera vez de estas ayudas. Se valora que en el proyecto participe una empresa que no haya obtenido las ayudas a proyectos de I+D en las convocatorias anteriores (del año 2016 a 2024). A estos efectos, se tendrán en cuenta las ayudas concedidas a empresas asociadas o vinculadas a la misma: 3 puntos.</w:t>
      </w:r>
    </w:p>
    <w:p w:rsidR="00A03A12" w:rsidRDefault="00A03A12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03A12" w:rsidRDefault="00A03A12" w:rsidP="00971394">
      <w:pPr>
        <w:pStyle w:val="Prrafodelista"/>
        <w:jc w:val="both"/>
        <w:rPr>
          <w:rFonts w:ascii="Arial" w:hAnsi="Arial" w:cs="Arial"/>
          <w:color w:val="0070C0"/>
        </w:rPr>
      </w:pPr>
      <w:r w:rsidRPr="00A03A12">
        <w:rPr>
          <w:rFonts w:ascii="Arial" w:hAnsi="Arial" w:cs="Arial"/>
          <w:color w:val="0070C0"/>
        </w:rPr>
        <w:t>Si ha participado en proyectos estratégicos también</w:t>
      </w:r>
      <w:r>
        <w:rPr>
          <w:rFonts w:ascii="Arial" w:hAnsi="Arial" w:cs="Arial"/>
          <w:color w:val="0070C0"/>
        </w:rPr>
        <w:t xml:space="preserve"> se tiene en</w:t>
      </w:r>
      <w:r w:rsidR="00971394">
        <w:rPr>
          <w:rFonts w:ascii="Arial" w:hAnsi="Arial" w:cs="Arial"/>
          <w:color w:val="0070C0"/>
        </w:rPr>
        <w:t xml:space="preserve"> cuenta. Los puntos son para </w:t>
      </w:r>
      <w:r w:rsidRPr="00A03A12">
        <w:rPr>
          <w:rFonts w:ascii="Arial" w:hAnsi="Arial" w:cs="Arial"/>
          <w:color w:val="0070C0"/>
        </w:rPr>
        <w:t xml:space="preserve">empresas que no han participado en proyectos de I+D </w:t>
      </w:r>
      <w:r w:rsidR="00971394" w:rsidRPr="00971394">
        <w:rPr>
          <w:rFonts w:ascii="Arial" w:hAnsi="Arial" w:cs="Arial"/>
          <w:color w:val="0070C0"/>
        </w:rPr>
        <w:t>del Departamento de Industria, de Transición Ecológica y Digital empresarial</w:t>
      </w:r>
      <w:r w:rsidRPr="0053627E">
        <w:rPr>
          <w:rFonts w:ascii="Arial" w:hAnsi="Arial" w:cs="Arial"/>
          <w:color w:val="0070C0"/>
        </w:rPr>
        <w:t>.</w:t>
      </w:r>
    </w:p>
    <w:p w:rsidR="00182A88" w:rsidRDefault="00182A88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Default="00247CFC" w:rsidP="00247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47CFC">
        <w:rPr>
          <w:rFonts w:ascii="Arial" w:hAnsi="Arial" w:cs="Arial"/>
        </w:rPr>
        <w:t xml:space="preserve">En el caso de la letra g) de los criterios de valoración, participación de una empresa que se beneficia por primera vez </w:t>
      </w:r>
      <w:r w:rsidR="0088544A">
        <w:rPr>
          <w:rFonts w:ascii="Arial" w:hAnsi="Arial" w:cs="Arial"/>
        </w:rPr>
        <w:t>de estas ayudas, con dos puntos, ¿</w:t>
      </w:r>
      <w:r w:rsidRPr="00247CFC">
        <w:rPr>
          <w:rFonts w:ascii="Arial" w:hAnsi="Arial" w:cs="Arial"/>
        </w:rPr>
        <w:t xml:space="preserve">se puede aplicar a agentes del SINAI? </w:t>
      </w:r>
      <w:r w:rsidR="0088544A" w:rsidRPr="00247CFC">
        <w:rPr>
          <w:rFonts w:ascii="Arial" w:hAnsi="Arial" w:cs="Arial"/>
        </w:rPr>
        <w:t>¿Una UIE que se crea por una empresa y no ha recibido subvención prev</w:t>
      </w:r>
      <w:r w:rsidR="0088544A">
        <w:rPr>
          <w:rFonts w:ascii="Arial" w:hAnsi="Arial" w:cs="Arial"/>
        </w:rPr>
        <w:t>ia?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AD2B94" w:rsidRDefault="0088544A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En el caso de un agente del SINAI, no, puesto que la base 10.1.g) es para empresas</w:t>
      </w:r>
      <w:r w:rsidR="00AD2B94" w:rsidRPr="0053627E">
        <w:rPr>
          <w:rFonts w:ascii="Arial" w:hAnsi="Arial" w:cs="Arial"/>
          <w:color w:val="0070C0"/>
        </w:rPr>
        <w:t>.</w:t>
      </w:r>
    </w:p>
    <w:p w:rsidR="00A777D1" w:rsidRDefault="00A777D1" w:rsidP="00A777D1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En el caso de una Unidad de I+D+i empresarial, si actúa en el proyecto exclusivamente como empresa, es decir en un proyecto individual según la base 3.2.1, y con ánimo de lucro, </w:t>
      </w:r>
      <w:bookmarkStart w:id="0" w:name="_GoBack"/>
      <w:bookmarkEnd w:id="0"/>
      <w:r>
        <w:rPr>
          <w:rFonts w:ascii="Arial" w:hAnsi="Arial" w:cs="Arial"/>
          <w:color w:val="0070C0"/>
        </w:rPr>
        <w:t>es decir con actividad económica, sí que podría acogerse, siempre y cuando no hubiese recibido ayudas. Se entiende que ha recibido ayudas tanto si ha sido participando como empresa o como agente del SINAI.</w:t>
      </w:r>
    </w:p>
    <w:p w:rsidR="00A777D1" w:rsidRDefault="00A777D1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88544A" w:rsidRDefault="0088544A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Se deben tener en cuenta empresas asociadas y vinculadas.</w:t>
      </w: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51452A" w:rsidRDefault="0051452A" w:rsidP="0051452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47CFC">
        <w:rPr>
          <w:rFonts w:ascii="Arial" w:hAnsi="Arial" w:cs="Arial"/>
        </w:rPr>
        <w:lastRenderedPageBreak/>
        <w:t xml:space="preserve">En un proyecto de transferencia de conocimiento entre una empresa y un agente </w:t>
      </w:r>
      <w:r>
        <w:rPr>
          <w:rFonts w:ascii="Arial" w:hAnsi="Arial" w:cs="Arial"/>
        </w:rPr>
        <w:t>SINAI</w:t>
      </w:r>
      <w:r w:rsidRPr="00247CFC">
        <w:rPr>
          <w:rFonts w:ascii="Arial" w:hAnsi="Arial" w:cs="Arial"/>
        </w:rPr>
        <w:t xml:space="preserve">, ¿puede el agente </w:t>
      </w:r>
      <w:r>
        <w:rPr>
          <w:rFonts w:ascii="Arial" w:hAnsi="Arial" w:cs="Arial"/>
        </w:rPr>
        <w:t xml:space="preserve">del SINAI </w:t>
      </w:r>
      <w:r w:rsidRPr="00247CFC">
        <w:rPr>
          <w:rFonts w:ascii="Arial" w:hAnsi="Arial" w:cs="Arial"/>
        </w:rPr>
        <w:t>ser el responsable de la difusión</w:t>
      </w:r>
      <w:r w:rsidRPr="00D94D01">
        <w:rPr>
          <w:rFonts w:ascii="Arial" w:hAnsi="Arial" w:cs="Arial"/>
        </w:rPr>
        <w:t>?</w:t>
      </w:r>
    </w:p>
    <w:p w:rsidR="0051452A" w:rsidRPr="00D94D01" w:rsidRDefault="0051452A" w:rsidP="0051452A">
      <w:pPr>
        <w:pStyle w:val="Prrafodelista"/>
        <w:jc w:val="both"/>
        <w:rPr>
          <w:rFonts w:ascii="Arial" w:hAnsi="Arial" w:cs="Arial"/>
        </w:rPr>
      </w:pPr>
    </w:p>
    <w:p w:rsidR="0051452A" w:rsidRPr="00D94D01" w:rsidRDefault="0051452A" w:rsidP="0051452A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51452A" w:rsidRDefault="0051452A" w:rsidP="0051452A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Sí, no hay limitación al respecto</w:t>
      </w:r>
      <w:r w:rsidRPr="0053627E">
        <w:rPr>
          <w:rFonts w:ascii="Arial" w:hAnsi="Arial" w:cs="Arial"/>
          <w:color w:val="0070C0"/>
        </w:rPr>
        <w:t>.</w:t>
      </w:r>
    </w:p>
    <w:p w:rsidR="0051452A" w:rsidRPr="0053627E" w:rsidRDefault="0051452A" w:rsidP="0051452A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Pr="00A15275" w:rsidRDefault="00247CFC" w:rsidP="00247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15275">
        <w:rPr>
          <w:rFonts w:ascii="Arial" w:hAnsi="Arial" w:cs="Arial"/>
        </w:rPr>
        <w:t xml:space="preserve">Si se recurre a la ayuda de una </w:t>
      </w:r>
      <w:r w:rsidR="00816EBD" w:rsidRPr="00A15275">
        <w:rPr>
          <w:rFonts w:ascii="Arial" w:hAnsi="Arial" w:cs="Arial"/>
        </w:rPr>
        <w:t>consultoría</w:t>
      </w:r>
      <w:r w:rsidRPr="00A15275">
        <w:rPr>
          <w:rFonts w:ascii="Arial" w:hAnsi="Arial" w:cs="Arial"/>
        </w:rPr>
        <w:t>, se financia el coste de preparación de la propuesta, pero mi duda es si se pueden imputar los gastos anuales de gestión</w:t>
      </w:r>
      <w:r w:rsidR="00816EBD" w:rsidRPr="00A15275">
        <w:rPr>
          <w:rFonts w:ascii="Arial" w:hAnsi="Arial" w:cs="Arial"/>
        </w:rPr>
        <w:t>.</w:t>
      </w:r>
    </w:p>
    <w:p w:rsidR="00AD2B94" w:rsidRPr="00A15275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A15275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A15275">
        <w:rPr>
          <w:rFonts w:ascii="Arial" w:hAnsi="Arial" w:cs="Arial"/>
          <w:b/>
          <w:color w:val="FF0000"/>
        </w:rPr>
        <w:t>RESPUESTA:</w:t>
      </w:r>
    </w:p>
    <w:p w:rsidR="00AD2B94" w:rsidRPr="00A15275" w:rsidRDefault="00816EBD" w:rsidP="00AD2B94">
      <w:pPr>
        <w:pStyle w:val="Prrafodelista"/>
        <w:jc w:val="both"/>
        <w:rPr>
          <w:rFonts w:ascii="Arial" w:hAnsi="Arial" w:cs="Arial"/>
          <w:color w:val="0070C0"/>
        </w:rPr>
      </w:pPr>
      <w:r w:rsidRPr="00A15275">
        <w:rPr>
          <w:rFonts w:ascii="Arial" w:hAnsi="Arial" w:cs="Arial"/>
          <w:color w:val="0070C0"/>
        </w:rPr>
        <w:t>Los gastos de preparación de la propuesta son para la</w:t>
      </w:r>
      <w:r w:rsidR="00F73C3C" w:rsidRPr="00A15275">
        <w:rPr>
          <w:rFonts w:ascii="Arial" w:hAnsi="Arial" w:cs="Arial"/>
          <w:color w:val="0070C0"/>
        </w:rPr>
        <w:t xml:space="preserve"> preparación y</w:t>
      </w:r>
      <w:r w:rsidRPr="00A15275">
        <w:rPr>
          <w:rFonts w:ascii="Arial" w:hAnsi="Arial" w:cs="Arial"/>
          <w:color w:val="0070C0"/>
        </w:rPr>
        <w:t xml:space="preserve"> </w:t>
      </w:r>
      <w:r w:rsidR="00F73C3C" w:rsidRPr="00A15275">
        <w:rPr>
          <w:rFonts w:ascii="Arial" w:hAnsi="Arial" w:cs="Arial"/>
          <w:color w:val="0070C0"/>
        </w:rPr>
        <w:t>presentación de la solicitud con un límite de 1.500 euros por proyecto</w:t>
      </w:r>
      <w:r w:rsidR="00AD2B94" w:rsidRPr="00A15275">
        <w:rPr>
          <w:rFonts w:ascii="Arial" w:hAnsi="Arial" w:cs="Arial"/>
          <w:color w:val="0070C0"/>
        </w:rPr>
        <w:t>.</w:t>
      </w:r>
    </w:p>
    <w:p w:rsidR="00F73C3C" w:rsidRPr="00A15275" w:rsidRDefault="00F73C3C" w:rsidP="00AD2B94">
      <w:pPr>
        <w:pStyle w:val="Prrafodelista"/>
        <w:jc w:val="both"/>
        <w:rPr>
          <w:rFonts w:ascii="Arial" w:hAnsi="Arial" w:cs="Arial"/>
          <w:color w:val="0070C0"/>
        </w:rPr>
      </w:pPr>
      <w:r w:rsidRPr="00A15275">
        <w:rPr>
          <w:rFonts w:ascii="Arial" w:hAnsi="Arial" w:cs="Arial"/>
          <w:color w:val="0070C0"/>
        </w:rPr>
        <w:t>Base 4.2.f) El gasto de consultoría asociado a la preparación y presentación de la solicitud de ayuda, se subvencionará hasta un máximo de 1.500 euros por proyecto.</w:t>
      </w:r>
    </w:p>
    <w:p w:rsidR="00F73C3C" w:rsidRPr="00A15275" w:rsidRDefault="00F73C3C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15275" w:rsidRDefault="00A15275" w:rsidP="00AB41D5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 referido en la presentación:</w:t>
      </w:r>
    </w:p>
    <w:p w:rsidR="00AD2B94" w:rsidRPr="00A15275" w:rsidRDefault="00F73C3C" w:rsidP="00AB41D5">
      <w:pPr>
        <w:pStyle w:val="Prrafodelista"/>
        <w:jc w:val="both"/>
        <w:rPr>
          <w:rFonts w:ascii="Arial" w:hAnsi="Arial" w:cs="Arial"/>
          <w:color w:val="0070C0"/>
        </w:rPr>
      </w:pPr>
      <w:r w:rsidRPr="00A15275">
        <w:rPr>
          <w:rFonts w:ascii="Arial" w:hAnsi="Arial" w:cs="Arial"/>
          <w:color w:val="0070C0"/>
        </w:rPr>
        <w:t xml:space="preserve">Por otra parte, según la base </w:t>
      </w:r>
      <w:proofErr w:type="spellStart"/>
      <w:r w:rsidRPr="00A15275">
        <w:rPr>
          <w:rFonts w:ascii="Arial" w:hAnsi="Arial" w:cs="Arial"/>
          <w:color w:val="0070C0"/>
        </w:rPr>
        <w:t>Base</w:t>
      </w:r>
      <w:proofErr w:type="spellEnd"/>
      <w:r w:rsidRPr="00A15275">
        <w:rPr>
          <w:rFonts w:ascii="Arial" w:hAnsi="Arial" w:cs="Arial"/>
          <w:color w:val="0070C0"/>
        </w:rPr>
        <w:t xml:space="preserve"> 4.2, apartados a) y f) se puede imputar gasto de gestión administrativa y financiera del proyecto mediante dedicación de personal propio o mediante contratación a terceros. El gasto a subvencionar por este concepto sumadas las partidas de personal y de otros costes no superará los 6.000 euros por cada socio del proyecto. El límite será de 8.000 euros para el coordinador</w:t>
      </w:r>
      <w:r w:rsidR="00AB41D5" w:rsidRPr="00A15275">
        <w:rPr>
          <w:rFonts w:ascii="Arial" w:hAnsi="Arial" w:cs="Arial"/>
          <w:color w:val="0070C0"/>
        </w:rPr>
        <w:t>.</w:t>
      </w:r>
    </w:p>
    <w:p w:rsidR="0051452A" w:rsidRPr="00A15275" w:rsidRDefault="0051452A" w:rsidP="00AB41D5">
      <w:pPr>
        <w:pStyle w:val="Prrafodelista"/>
        <w:jc w:val="both"/>
        <w:rPr>
          <w:rFonts w:ascii="Arial" w:hAnsi="Arial" w:cs="Arial"/>
          <w:color w:val="0070C0"/>
        </w:rPr>
      </w:pPr>
    </w:p>
    <w:p w:rsidR="00AB41D5" w:rsidRPr="00A15275" w:rsidRDefault="00AB41D5" w:rsidP="00AB41D5">
      <w:pPr>
        <w:pStyle w:val="Prrafodelista"/>
        <w:jc w:val="both"/>
        <w:rPr>
          <w:rFonts w:ascii="Arial" w:hAnsi="Arial" w:cs="Arial"/>
          <w:color w:val="0070C0"/>
        </w:rPr>
      </w:pPr>
    </w:p>
    <w:p w:rsidR="001337ED" w:rsidRDefault="001337ED" w:rsidP="001337E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47CFC">
        <w:rPr>
          <w:rFonts w:ascii="Arial" w:hAnsi="Arial" w:cs="Arial"/>
        </w:rPr>
        <w:t>¿</w:t>
      </w:r>
      <w:r>
        <w:rPr>
          <w:rFonts w:ascii="Arial" w:hAnsi="Arial" w:cs="Arial"/>
        </w:rPr>
        <w:t>Cómo se realiza el pago de la ayuda</w:t>
      </w:r>
      <w:r w:rsidRPr="00D94D0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Se abona a la entidad coordinadora el total y ésta lo reparte a los demás socios, ¿O se abona a cada socio lo correspondiente a su presupuesto?</w:t>
      </w:r>
    </w:p>
    <w:p w:rsidR="001337ED" w:rsidRPr="00D94D01" w:rsidRDefault="001337ED" w:rsidP="001337ED">
      <w:pPr>
        <w:pStyle w:val="Prrafodelista"/>
        <w:jc w:val="both"/>
        <w:rPr>
          <w:rFonts w:ascii="Arial" w:hAnsi="Arial" w:cs="Arial"/>
        </w:rPr>
      </w:pPr>
    </w:p>
    <w:p w:rsidR="001337ED" w:rsidRPr="00D94D01" w:rsidRDefault="001337ED" w:rsidP="001337ED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1337ED" w:rsidRDefault="001337ED" w:rsidP="001337ED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Cada socio tiene su expediente, asociado a su número de cuenta</w:t>
      </w:r>
      <w:r w:rsidRPr="0053627E">
        <w:rPr>
          <w:rFonts w:ascii="Arial" w:hAnsi="Arial" w:cs="Arial"/>
          <w:color w:val="0070C0"/>
        </w:rPr>
        <w:t>.</w:t>
      </w:r>
      <w:r>
        <w:rPr>
          <w:rFonts w:ascii="Arial" w:hAnsi="Arial" w:cs="Arial"/>
          <w:color w:val="0070C0"/>
        </w:rPr>
        <w:t xml:space="preserve"> Cada expediente se abona por separado.</w:t>
      </w:r>
    </w:p>
    <w:p w:rsidR="001337ED" w:rsidRDefault="001337ED" w:rsidP="001337ED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La labor del coordinador está tasada: presentar las modificaciones, presentar el acuerdo de colaboración, la memoria, etc.</w:t>
      </w:r>
    </w:p>
    <w:p w:rsidR="001337ED" w:rsidRPr="0053627E" w:rsidRDefault="001337ED" w:rsidP="001337ED">
      <w:pPr>
        <w:pStyle w:val="Prrafodelista"/>
        <w:jc w:val="both"/>
        <w:rPr>
          <w:rFonts w:ascii="Arial" w:hAnsi="Arial" w:cs="Arial"/>
          <w:color w:val="0070C0"/>
        </w:rPr>
      </w:pPr>
    </w:p>
    <w:p w:rsidR="001337ED" w:rsidRDefault="001337ED" w:rsidP="001337E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337ED">
        <w:rPr>
          <w:rFonts w:ascii="Arial" w:hAnsi="Arial" w:cs="Arial"/>
        </w:rPr>
        <w:t>Si en el equipo del proyecto se hace uso de una subcontratación de empresa vinculada y en esta hay doctores, ¿se tienen en cuenta estos doctores para los pu</w:t>
      </w:r>
      <w:r>
        <w:rPr>
          <w:rFonts w:ascii="Arial" w:hAnsi="Arial" w:cs="Arial"/>
        </w:rPr>
        <w:t>ntos del criterio de evaluación?</w:t>
      </w:r>
    </w:p>
    <w:p w:rsidR="001337ED" w:rsidRPr="00D94D01" w:rsidRDefault="001337ED" w:rsidP="001337ED">
      <w:pPr>
        <w:pStyle w:val="Prrafodelista"/>
        <w:jc w:val="both"/>
        <w:rPr>
          <w:rFonts w:ascii="Arial" w:hAnsi="Arial" w:cs="Arial"/>
        </w:rPr>
      </w:pPr>
    </w:p>
    <w:p w:rsidR="001337ED" w:rsidRPr="00D94D01" w:rsidRDefault="001337ED" w:rsidP="001337ED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1337ED" w:rsidRDefault="001337ED" w:rsidP="001337ED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No, los criterios de valoración del apartado j) relativos al personal doctorado se refieren a los gastos de personal</w:t>
      </w:r>
      <w:r w:rsidR="00A777D1">
        <w:rPr>
          <w:rFonts w:ascii="Arial" w:hAnsi="Arial" w:cs="Arial"/>
          <w:color w:val="0070C0"/>
        </w:rPr>
        <w:t xml:space="preserve"> declarados por la beneficiaria</w:t>
      </w:r>
      <w:r>
        <w:rPr>
          <w:rFonts w:ascii="Arial" w:hAnsi="Arial" w:cs="Arial"/>
          <w:color w:val="0070C0"/>
        </w:rPr>
        <w:t xml:space="preserve">. </w:t>
      </w:r>
      <w:r w:rsidR="00A777D1">
        <w:rPr>
          <w:rFonts w:ascii="Arial" w:hAnsi="Arial" w:cs="Arial"/>
          <w:color w:val="0070C0"/>
        </w:rPr>
        <w:t>Para determinar el alcance de la participación de doctores en el proyecto s</w:t>
      </w:r>
      <w:r>
        <w:rPr>
          <w:rFonts w:ascii="Arial" w:hAnsi="Arial" w:cs="Arial"/>
          <w:color w:val="0070C0"/>
        </w:rPr>
        <w:t>e utilizan los formularios presentados</w:t>
      </w:r>
      <w:r w:rsidR="00A777D1">
        <w:rPr>
          <w:rFonts w:ascii="Arial" w:hAnsi="Arial" w:cs="Arial"/>
          <w:color w:val="0070C0"/>
        </w:rPr>
        <w:t xml:space="preserve"> por los socios del mismo</w:t>
      </w:r>
      <w:r>
        <w:rPr>
          <w:rFonts w:ascii="Arial" w:hAnsi="Arial" w:cs="Arial"/>
          <w:color w:val="0070C0"/>
        </w:rPr>
        <w:t>.</w:t>
      </w:r>
    </w:p>
    <w:p w:rsidR="00A15275" w:rsidRDefault="00A15275" w:rsidP="001337ED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 pesar de que en justificación se presente la participación de personal de colaboraciones externas de empresas vinculadas, no se tiene en cuenta para estos criterios.</w:t>
      </w:r>
    </w:p>
    <w:p w:rsidR="001337ED" w:rsidRPr="0053627E" w:rsidRDefault="001337ED" w:rsidP="001337ED">
      <w:pPr>
        <w:pStyle w:val="Prrafodelista"/>
        <w:jc w:val="both"/>
        <w:rPr>
          <w:rFonts w:ascii="Arial" w:hAnsi="Arial" w:cs="Arial"/>
          <w:color w:val="0070C0"/>
        </w:rPr>
      </w:pPr>
    </w:p>
    <w:p w:rsidR="00A15275" w:rsidRPr="00A15275" w:rsidRDefault="00A15275" w:rsidP="00A1527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15275">
        <w:rPr>
          <w:rFonts w:ascii="Arial" w:hAnsi="Arial" w:cs="Arial"/>
        </w:rPr>
        <w:lastRenderedPageBreak/>
        <w:t>¿El gasto de personal está limitado a esos 6000€?, ¿o eso sólo aplica al gasto de personal dedicado a labores de gestión administrativa y financiera del proyecto?</w:t>
      </w:r>
    </w:p>
    <w:p w:rsidR="00A15275" w:rsidRPr="00A15275" w:rsidRDefault="00A15275" w:rsidP="00A15275">
      <w:pPr>
        <w:pStyle w:val="Prrafodelista"/>
        <w:jc w:val="both"/>
        <w:rPr>
          <w:rFonts w:ascii="Arial" w:hAnsi="Arial" w:cs="Arial"/>
        </w:rPr>
      </w:pPr>
    </w:p>
    <w:p w:rsidR="00A15275" w:rsidRPr="00A15275" w:rsidRDefault="00A15275" w:rsidP="00A15275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A15275">
        <w:rPr>
          <w:rFonts w:ascii="Arial" w:hAnsi="Arial" w:cs="Arial"/>
          <w:b/>
          <w:color w:val="FF0000"/>
        </w:rPr>
        <w:t>RESPUESTA:</w:t>
      </w:r>
    </w:p>
    <w:p w:rsidR="004D7F18" w:rsidRDefault="004D7F18" w:rsidP="00A15275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Relacionada con la pregunta 10.</w:t>
      </w:r>
    </w:p>
    <w:p w:rsidR="004D7F18" w:rsidRDefault="00A15275" w:rsidP="00A15275">
      <w:pPr>
        <w:pStyle w:val="Prrafodelista"/>
        <w:jc w:val="both"/>
        <w:rPr>
          <w:rFonts w:ascii="Arial" w:hAnsi="Arial" w:cs="Arial"/>
          <w:color w:val="0070C0"/>
        </w:rPr>
      </w:pPr>
      <w:r w:rsidRPr="00A15275">
        <w:rPr>
          <w:rFonts w:ascii="Arial" w:hAnsi="Arial" w:cs="Arial"/>
          <w:color w:val="0070C0"/>
        </w:rPr>
        <w:t>El</w:t>
      </w:r>
      <w:r>
        <w:rPr>
          <w:rFonts w:ascii="Arial" w:hAnsi="Arial" w:cs="Arial"/>
          <w:color w:val="0070C0"/>
        </w:rPr>
        <w:t xml:space="preserve"> gasto de personal en total no está limitado. El</w:t>
      </w:r>
      <w:r w:rsidRPr="00A15275">
        <w:rPr>
          <w:rFonts w:ascii="Arial" w:hAnsi="Arial" w:cs="Arial"/>
          <w:color w:val="0070C0"/>
        </w:rPr>
        <w:t xml:space="preserve"> límite de 6.000 u 8.000 euros es para el total del gasto de gestión administrativa y financiera del proyecto.</w:t>
      </w:r>
    </w:p>
    <w:p w:rsidR="004D7F18" w:rsidRDefault="004D7F18" w:rsidP="00A15275">
      <w:pPr>
        <w:pStyle w:val="Prrafodelista"/>
        <w:jc w:val="both"/>
        <w:rPr>
          <w:rFonts w:ascii="Arial" w:hAnsi="Arial" w:cs="Arial"/>
          <w:color w:val="0070C0"/>
        </w:rPr>
      </w:pPr>
    </w:p>
    <w:p w:rsidR="00A15275" w:rsidRDefault="004D7F18" w:rsidP="004D7F18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El </w:t>
      </w:r>
      <w:r w:rsidRPr="00A15275">
        <w:rPr>
          <w:rFonts w:ascii="Arial" w:hAnsi="Arial" w:cs="Arial"/>
          <w:color w:val="0070C0"/>
        </w:rPr>
        <w:t>gasto de gestión administrativa y financiera del proyecto</w:t>
      </w:r>
      <w:r>
        <w:rPr>
          <w:rFonts w:ascii="Arial" w:hAnsi="Arial" w:cs="Arial"/>
          <w:color w:val="0070C0"/>
        </w:rPr>
        <w:t xml:space="preserve"> se podrá imputar en la partida de personal si se realiza con</w:t>
      </w:r>
      <w:r w:rsidR="00A15275" w:rsidRPr="00A15275">
        <w:rPr>
          <w:rFonts w:ascii="Arial" w:hAnsi="Arial" w:cs="Arial"/>
          <w:color w:val="0070C0"/>
        </w:rPr>
        <w:t xml:space="preserve"> personal propio </w:t>
      </w:r>
      <w:r>
        <w:rPr>
          <w:rFonts w:ascii="Arial" w:hAnsi="Arial" w:cs="Arial"/>
          <w:color w:val="0070C0"/>
        </w:rPr>
        <w:t>o imputar en la partida de otros gastos si se contrata a</w:t>
      </w:r>
      <w:r w:rsidR="00A15275" w:rsidRPr="00A15275">
        <w:rPr>
          <w:rFonts w:ascii="Arial" w:hAnsi="Arial" w:cs="Arial"/>
          <w:color w:val="0070C0"/>
        </w:rPr>
        <w:t xml:space="preserve"> otra entidad, o bien una mezcla de ambas,</w:t>
      </w:r>
      <w:r>
        <w:rPr>
          <w:rFonts w:ascii="Arial" w:hAnsi="Arial" w:cs="Arial"/>
          <w:color w:val="0070C0"/>
        </w:rPr>
        <w:t xml:space="preserve"> imputando parte con personal propio y parte contratado, en cuyo caso </w:t>
      </w:r>
      <w:r w:rsidRPr="00A15275">
        <w:rPr>
          <w:rFonts w:ascii="Arial" w:hAnsi="Arial" w:cs="Arial"/>
          <w:color w:val="0070C0"/>
        </w:rPr>
        <w:t>el límite de 6.000</w:t>
      </w:r>
      <w:r>
        <w:rPr>
          <w:rFonts w:ascii="Arial" w:hAnsi="Arial" w:cs="Arial"/>
          <w:color w:val="0070C0"/>
        </w:rPr>
        <w:t xml:space="preserve"> u 8.000</w:t>
      </w:r>
      <w:r w:rsidRPr="00A15275">
        <w:rPr>
          <w:rFonts w:ascii="Arial" w:hAnsi="Arial" w:cs="Arial"/>
          <w:color w:val="0070C0"/>
        </w:rPr>
        <w:t xml:space="preserve"> euros</w:t>
      </w:r>
      <w:r>
        <w:rPr>
          <w:rFonts w:ascii="Arial" w:hAnsi="Arial" w:cs="Arial"/>
          <w:color w:val="0070C0"/>
        </w:rPr>
        <w:t xml:space="preserve"> afectará a la</w:t>
      </w:r>
      <w:r w:rsidRPr="00A15275">
        <w:rPr>
          <w:rFonts w:ascii="Arial" w:hAnsi="Arial" w:cs="Arial"/>
          <w:color w:val="0070C0"/>
        </w:rPr>
        <w:t xml:space="preserve"> </w:t>
      </w:r>
      <w:r w:rsidR="00A15275" w:rsidRPr="00A15275">
        <w:rPr>
          <w:rFonts w:ascii="Arial" w:hAnsi="Arial" w:cs="Arial"/>
          <w:color w:val="0070C0"/>
        </w:rPr>
        <w:t xml:space="preserve">suma </w:t>
      </w:r>
      <w:r>
        <w:rPr>
          <w:rFonts w:ascii="Arial" w:hAnsi="Arial" w:cs="Arial"/>
          <w:color w:val="0070C0"/>
        </w:rPr>
        <w:t>de los conceptos de las dos partidas</w:t>
      </w:r>
      <w:r w:rsidR="00A15275" w:rsidRPr="00A15275">
        <w:rPr>
          <w:rFonts w:ascii="Arial" w:hAnsi="Arial" w:cs="Arial"/>
          <w:color w:val="0070C0"/>
        </w:rPr>
        <w:t>.</w:t>
      </w:r>
    </w:p>
    <w:p w:rsidR="00A15275" w:rsidRDefault="00A15275" w:rsidP="00A15275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AD2B94" w:rsidRDefault="00247CFC" w:rsidP="00247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47CFC">
        <w:rPr>
          <w:rFonts w:ascii="Arial" w:hAnsi="Arial" w:cs="Arial"/>
        </w:rPr>
        <w:t>Coste indirecto simplificado (15% de los gastos de personal subvencionados), en el caso de agentes del SINAI a los que no se les financien los costes indirectos. ¿a qué se refiere esta financiación o a qué agentes aplica</w:t>
      </w:r>
      <w:r w:rsidR="00AD2B94" w:rsidRPr="00D94D01">
        <w:rPr>
          <w:rFonts w:ascii="Arial" w:hAnsi="Arial" w:cs="Arial"/>
        </w:rPr>
        <w:t>?</w:t>
      </w: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</w:rPr>
      </w:pPr>
    </w:p>
    <w:p w:rsidR="00AD2B94" w:rsidRPr="00D94D01" w:rsidRDefault="00AD2B94" w:rsidP="00AD2B94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235828" w:rsidRDefault="00235828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En los proyectos de transferencia del conocimiento, a los agentes del SINAI que participan como socios se les abonan directamente los costes indirectos como una opción de coste simplificado, reconocida por la UE, mediante el 15% del importe de los gastos de personal.</w:t>
      </w:r>
    </w:p>
    <w:p w:rsidR="00AD2B94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</w:t>
      </w:r>
      <w:r w:rsidR="00AB41D5">
        <w:rPr>
          <w:rFonts w:ascii="Arial" w:hAnsi="Arial" w:cs="Arial"/>
          <w:color w:val="0070C0"/>
        </w:rPr>
        <w:t>e aplica a todos los agentes del SINAI, salvo a aquellos que ya tienen financiados dichos gastos por una administración</w:t>
      </w:r>
      <w:r w:rsidRPr="0053627E">
        <w:rPr>
          <w:rFonts w:ascii="Arial" w:hAnsi="Arial" w:cs="Arial"/>
          <w:color w:val="0070C0"/>
        </w:rPr>
        <w:t>.</w:t>
      </w:r>
      <w:r w:rsidR="00AB41D5">
        <w:rPr>
          <w:rFonts w:ascii="Arial" w:hAnsi="Arial" w:cs="Arial"/>
          <w:color w:val="0070C0"/>
        </w:rPr>
        <w:t xml:space="preserve"> Hay dos actualmente</w:t>
      </w:r>
      <w:r w:rsidR="00235828">
        <w:rPr>
          <w:rFonts w:ascii="Arial" w:hAnsi="Arial" w:cs="Arial"/>
          <w:color w:val="0070C0"/>
        </w:rPr>
        <w:t xml:space="preserve"> que ya son conocedores</w:t>
      </w:r>
      <w:r w:rsidR="00AB41D5">
        <w:rPr>
          <w:rFonts w:ascii="Arial" w:hAnsi="Arial" w:cs="Arial"/>
          <w:color w:val="0070C0"/>
        </w:rPr>
        <w:t>, uno financiado por España y otro por Navarra.</w:t>
      </w:r>
    </w:p>
    <w:p w:rsidR="00AD2B94" w:rsidRPr="0053627E" w:rsidRDefault="00AD2B94" w:rsidP="00AD2B94">
      <w:pPr>
        <w:pStyle w:val="Prrafodelista"/>
        <w:jc w:val="both"/>
        <w:rPr>
          <w:rFonts w:ascii="Arial" w:hAnsi="Arial" w:cs="Arial"/>
          <w:color w:val="0070C0"/>
        </w:rPr>
      </w:pPr>
    </w:p>
    <w:p w:rsidR="00893FAA" w:rsidRDefault="00893FAA" w:rsidP="00577A1E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Base 4.</w:t>
      </w:r>
      <w:r w:rsidR="00235828">
        <w:rPr>
          <w:rFonts w:ascii="Arial" w:hAnsi="Arial" w:cs="Arial"/>
          <w:color w:val="0070C0"/>
        </w:rPr>
        <w:t>2</w:t>
      </w:r>
      <w:r>
        <w:rPr>
          <w:rFonts w:ascii="Arial" w:hAnsi="Arial" w:cs="Arial"/>
          <w:color w:val="0070C0"/>
        </w:rPr>
        <w:t>.</w:t>
      </w:r>
      <w:r w:rsidR="00235828">
        <w:rPr>
          <w:rFonts w:ascii="Arial" w:hAnsi="Arial" w:cs="Arial"/>
          <w:color w:val="0070C0"/>
        </w:rPr>
        <w:t>e</w:t>
      </w:r>
      <w:r>
        <w:rPr>
          <w:rFonts w:ascii="Arial" w:hAnsi="Arial" w:cs="Arial"/>
          <w:color w:val="0070C0"/>
        </w:rPr>
        <w:t xml:space="preserve">) </w:t>
      </w:r>
      <w:r w:rsidR="00235828" w:rsidRPr="00235828">
        <w:rPr>
          <w:rFonts w:ascii="Arial" w:hAnsi="Arial" w:cs="Arial"/>
          <w:color w:val="0070C0"/>
        </w:rPr>
        <w:t>Coste indirecto simplificado (15% de los gastos de personal subvencionados), en el caso de agentes del SINAI a los que no se les financien los costes indirectos.</w:t>
      </w:r>
    </w:p>
    <w:p w:rsidR="00B04DAC" w:rsidRPr="00D94D01" w:rsidRDefault="00B04DAC" w:rsidP="00577A1E">
      <w:pPr>
        <w:pStyle w:val="Prrafodelista"/>
        <w:jc w:val="both"/>
        <w:rPr>
          <w:rFonts w:ascii="Arial" w:hAnsi="Arial" w:cs="Arial"/>
          <w:color w:val="0070C0"/>
        </w:rPr>
      </w:pPr>
    </w:p>
    <w:p w:rsidR="00577A1E" w:rsidRPr="00D94D01" w:rsidRDefault="00577A1E" w:rsidP="00577A1E">
      <w:pPr>
        <w:pStyle w:val="Prrafodelista"/>
        <w:jc w:val="both"/>
        <w:rPr>
          <w:rFonts w:ascii="Arial" w:hAnsi="Arial" w:cs="Arial"/>
          <w:color w:val="0070C0"/>
        </w:rPr>
      </w:pPr>
    </w:p>
    <w:p w:rsidR="00425A4B" w:rsidRPr="00893FAA" w:rsidRDefault="00425A4B" w:rsidP="00425A4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93FAA">
        <w:rPr>
          <w:rFonts w:ascii="Arial" w:hAnsi="Arial" w:cs="Arial"/>
        </w:rPr>
        <w:t>¿</w:t>
      </w:r>
      <w:r>
        <w:rPr>
          <w:rFonts w:ascii="Arial" w:hAnsi="Arial" w:cs="Arial"/>
        </w:rPr>
        <w:t>Qué diferencia existe entre el coste de consultoría por justificación o por gestión administrativa y financiera</w:t>
      </w:r>
      <w:r w:rsidRPr="00893FAA">
        <w:rPr>
          <w:rFonts w:ascii="Arial" w:hAnsi="Arial" w:cs="Arial"/>
        </w:rPr>
        <w:t>?</w:t>
      </w: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</w:rPr>
      </w:pP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</w:rPr>
      </w:pP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425A4B" w:rsidRDefault="00425A4B" w:rsidP="00425A4B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La gestión administrativa y financiera del proyecto es un concepto más amplio que puede incluir la parte de justificación, que a su vez sería la gestión económica del proyecto.</w:t>
      </w:r>
    </w:p>
    <w:p w:rsidR="00425A4B" w:rsidRDefault="00425A4B" w:rsidP="00425A4B">
      <w:pPr>
        <w:pStyle w:val="Prrafodelista"/>
        <w:jc w:val="both"/>
        <w:rPr>
          <w:rFonts w:ascii="Arial" w:hAnsi="Arial" w:cs="Arial"/>
          <w:color w:val="0070C0"/>
        </w:rPr>
      </w:pP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  <w:color w:val="0070C0"/>
        </w:rPr>
      </w:pPr>
    </w:p>
    <w:p w:rsidR="00425A4B" w:rsidRPr="00893FAA" w:rsidRDefault="00425A4B" w:rsidP="00425A4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93FAA">
        <w:rPr>
          <w:rFonts w:ascii="Arial" w:hAnsi="Arial" w:cs="Arial"/>
        </w:rPr>
        <w:t>¿</w:t>
      </w:r>
      <w:r>
        <w:rPr>
          <w:rFonts w:ascii="Arial" w:hAnsi="Arial" w:cs="Arial"/>
        </w:rPr>
        <w:t>Las ayudas se abonan de forma íntegra o se ponderan en función de la nota del proyecto</w:t>
      </w:r>
      <w:r w:rsidRPr="00893FAA">
        <w:rPr>
          <w:rFonts w:ascii="Arial" w:hAnsi="Arial" w:cs="Arial"/>
        </w:rPr>
        <w:t>?</w:t>
      </w: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</w:rPr>
      </w:pP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</w:rPr>
      </w:pPr>
    </w:p>
    <w:p w:rsidR="00425A4B" w:rsidRPr="00D94D01" w:rsidRDefault="00425A4B" w:rsidP="00425A4B">
      <w:pPr>
        <w:pStyle w:val="Prrafodelista"/>
        <w:jc w:val="both"/>
        <w:rPr>
          <w:rFonts w:ascii="Arial" w:hAnsi="Arial" w:cs="Arial"/>
          <w:b/>
          <w:color w:val="FF0000"/>
        </w:rPr>
      </w:pPr>
      <w:r w:rsidRPr="00D94D01">
        <w:rPr>
          <w:rFonts w:ascii="Arial" w:hAnsi="Arial" w:cs="Arial"/>
          <w:b/>
          <w:color w:val="FF0000"/>
        </w:rPr>
        <w:t>RESPUESTA:</w:t>
      </w:r>
    </w:p>
    <w:p w:rsidR="00425A4B" w:rsidRDefault="007A2AC3" w:rsidP="00425A4B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Se abonan aplicando la intensidad de ayuda de las tablas de la base 7, sin multiplicarse </w:t>
      </w:r>
      <w:r w:rsidR="00425A4B">
        <w:rPr>
          <w:rFonts w:ascii="Arial" w:hAnsi="Arial" w:cs="Arial"/>
          <w:color w:val="0070C0"/>
        </w:rPr>
        <w:t>por la nota.</w:t>
      </w:r>
    </w:p>
    <w:p w:rsidR="00425A4B" w:rsidRDefault="00425A4B" w:rsidP="00425A4B">
      <w:pPr>
        <w:pStyle w:val="Prrafodelista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>En convocatorias anteriores sí que se multiplicaba</w:t>
      </w:r>
      <w:r w:rsidR="007A2AC3">
        <w:rPr>
          <w:rFonts w:ascii="Arial" w:hAnsi="Arial" w:cs="Arial"/>
          <w:color w:val="0070C0"/>
        </w:rPr>
        <w:t xml:space="preserve"> el % de la tabla por la nota para obtener</w:t>
      </w:r>
      <w:r>
        <w:rPr>
          <w:rFonts w:ascii="Arial" w:hAnsi="Arial" w:cs="Arial"/>
          <w:color w:val="0070C0"/>
        </w:rPr>
        <w:t xml:space="preserve"> la intensidad de ayuda</w:t>
      </w:r>
      <w:r w:rsidR="007A2AC3">
        <w:rPr>
          <w:rFonts w:ascii="Arial" w:hAnsi="Arial" w:cs="Arial"/>
          <w:color w:val="0070C0"/>
        </w:rPr>
        <w:t xml:space="preserve"> final</w:t>
      </w:r>
      <w:r>
        <w:rPr>
          <w:rFonts w:ascii="Arial" w:hAnsi="Arial" w:cs="Arial"/>
          <w:color w:val="0070C0"/>
        </w:rPr>
        <w:t xml:space="preserve">. </w:t>
      </w:r>
    </w:p>
    <w:p w:rsidR="00425A4B" w:rsidRPr="00425A4B" w:rsidRDefault="00425A4B" w:rsidP="00425A4B">
      <w:pPr>
        <w:pStyle w:val="Prrafodelista"/>
        <w:jc w:val="both"/>
        <w:rPr>
          <w:rFonts w:ascii="Arial" w:hAnsi="Arial" w:cs="Arial"/>
          <w:color w:val="0070C0"/>
        </w:rPr>
      </w:pPr>
    </w:p>
    <w:sectPr w:rsidR="00425A4B" w:rsidRPr="00425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2A6"/>
    <w:multiLevelType w:val="hybridMultilevel"/>
    <w:tmpl w:val="E9EA3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CC7"/>
    <w:multiLevelType w:val="multilevel"/>
    <w:tmpl w:val="1324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73DA"/>
    <w:multiLevelType w:val="hybridMultilevel"/>
    <w:tmpl w:val="F49810D6"/>
    <w:lvl w:ilvl="0" w:tplc="3E521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A493B"/>
    <w:multiLevelType w:val="multilevel"/>
    <w:tmpl w:val="A24E31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pStyle w:val="B6-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602C8E"/>
    <w:multiLevelType w:val="hybridMultilevel"/>
    <w:tmpl w:val="1F6E19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B5EA7"/>
    <w:multiLevelType w:val="hybridMultilevel"/>
    <w:tmpl w:val="0B563AE6"/>
    <w:lvl w:ilvl="0" w:tplc="DB1665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8D252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0EED"/>
    <w:multiLevelType w:val="hybridMultilevel"/>
    <w:tmpl w:val="8F38025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BE408F"/>
    <w:multiLevelType w:val="hybridMultilevel"/>
    <w:tmpl w:val="03AA08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B5"/>
    <w:rsid w:val="0001361C"/>
    <w:rsid w:val="00041B5C"/>
    <w:rsid w:val="0008462B"/>
    <w:rsid w:val="000A0D82"/>
    <w:rsid w:val="000E394B"/>
    <w:rsid w:val="001337ED"/>
    <w:rsid w:val="00161A0C"/>
    <w:rsid w:val="00182A88"/>
    <w:rsid w:val="001A192A"/>
    <w:rsid w:val="001B1E1D"/>
    <w:rsid w:val="001B4B6F"/>
    <w:rsid w:val="001E743D"/>
    <w:rsid w:val="002007FA"/>
    <w:rsid w:val="0021263C"/>
    <w:rsid w:val="00235828"/>
    <w:rsid w:val="00247CFC"/>
    <w:rsid w:val="0025339A"/>
    <w:rsid w:val="00290FD6"/>
    <w:rsid w:val="003039A1"/>
    <w:rsid w:val="003077AD"/>
    <w:rsid w:val="00310EC8"/>
    <w:rsid w:val="0032703A"/>
    <w:rsid w:val="00342A5C"/>
    <w:rsid w:val="0037270F"/>
    <w:rsid w:val="0037637B"/>
    <w:rsid w:val="00425A4B"/>
    <w:rsid w:val="004373A9"/>
    <w:rsid w:val="004472D7"/>
    <w:rsid w:val="0047009B"/>
    <w:rsid w:val="004823A6"/>
    <w:rsid w:val="004D7F18"/>
    <w:rsid w:val="004E67EB"/>
    <w:rsid w:val="0051452A"/>
    <w:rsid w:val="0053627E"/>
    <w:rsid w:val="00577A1E"/>
    <w:rsid w:val="00600CF9"/>
    <w:rsid w:val="006168C5"/>
    <w:rsid w:val="00636643"/>
    <w:rsid w:val="006C6A9C"/>
    <w:rsid w:val="006D055F"/>
    <w:rsid w:val="006F0C23"/>
    <w:rsid w:val="0071209A"/>
    <w:rsid w:val="0072547D"/>
    <w:rsid w:val="007571E5"/>
    <w:rsid w:val="0079456A"/>
    <w:rsid w:val="007A2AC3"/>
    <w:rsid w:val="007D4FA3"/>
    <w:rsid w:val="007F691C"/>
    <w:rsid w:val="00816EBD"/>
    <w:rsid w:val="00825181"/>
    <w:rsid w:val="0087331B"/>
    <w:rsid w:val="0088544A"/>
    <w:rsid w:val="00893FAA"/>
    <w:rsid w:val="008A4630"/>
    <w:rsid w:val="008C4856"/>
    <w:rsid w:val="008D1E6C"/>
    <w:rsid w:val="008E2DAE"/>
    <w:rsid w:val="00971394"/>
    <w:rsid w:val="009C3AEA"/>
    <w:rsid w:val="009E2435"/>
    <w:rsid w:val="00A03A12"/>
    <w:rsid w:val="00A15275"/>
    <w:rsid w:val="00A777D1"/>
    <w:rsid w:val="00A95802"/>
    <w:rsid w:val="00AB41D5"/>
    <w:rsid w:val="00AC60C6"/>
    <w:rsid w:val="00AD2B94"/>
    <w:rsid w:val="00AD7AA1"/>
    <w:rsid w:val="00B00968"/>
    <w:rsid w:val="00B04DAC"/>
    <w:rsid w:val="00B1462A"/>
    <w:rsid w:val="00B150B5"/>
    <w:rsid w:val="00B20723"/>
    <w:rsid w:val="00B66A03"/>
    <w:rsid w:val="00B95826"/>
    <w:rsid w:val="00BE4F02"/>
    <w:rsid w:val="00CD33B6"/>
    <w:rsid w:val="00D5115E"/>
    <w:rsid w:val="00D67788"/>
    <w:rsid w:val="00D94D01"/>
    <w:rsid w:val="00DB4364"/>
    <w:rsid w:val="00DB5350"/>
    <w:rsid w:val="00E065F1"/>
    <w:rsid w:val="00E41F57"/>
    <w:rsid w:val="00E90ABF"/>
    <w:rsid w:val="00EB0544"/>
    <w:rsid w:val="00EC7EDB"/>
    <w:rsid w:val="00EF69AD"/>
    <w:rsid w:val="00F15C96"/>
    <w:rsid w:val="00F73C3C"/>
    <w:rsid w:val="00F95E9D"/>
    <w:rsid w:val="00F95F64"/>
    <w:rsid w:val="00F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5935"/>
  <w15:chartTrackingRefBased/>
  <w15:docId w15:val="{42B406E1-066A-4831-B327-E9C8D358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0B5"/>
    <w:pPr>
      <w:ind w:left="720"/>
      <w:contextualSpacing/>
    </w:pPr>
  </w:style>
  <w:style w:type="paragraph" w:customStyle="1" w:styleId="B6-">
    <w:name w:val="B6 -"/>
    <w:basedOn w:val="Normal"/>
    <w:rsid w:val="009E2435"/>
    <w:pPr>
      <w:numPr>
        <w:ilvl w:val="1"/>
        <w:numId w:val="5"/>
      </w:numPr>
      <w:spacing w:after="240" w:line="240" w:lineRule="auto"/>
      <w:jc w:val="both"/>
    </w:pPr>
    <w:rPr>
      <w:rFonts w:ascii="Arial" w:eastAsia="Times New Roman" w:hAnsi="Arial" w:cs="Arial"/>
      <w:lang w:eastAsia="es-ES"/>
    </w:rPr>
  </w:style>
  <w:style w:type="character" w:styleId="Textoennegrita">
    <w:name w:val="Strong"/>
    <w:basedOn w:val="Fuentedeprrafopredeter"/>
    <w:uiPriority w:val="22"/>
    <w:qFormat/>
    <w:rsid w:val="00EC7ED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D51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A777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77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77D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6</Pages>
  <Words>1688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Lapeña, Lara (CEIN)</dc:creator>
  <cp:keywords/>
  <dc:description/>
  <cp:lastModifiedBy>Cuesta Marquez, José Antonio  (Servicio de Proyectos Estratégicos de la S4)</cp:lastModifiedBy>
  <cp:revision>45</cp:revision>
  <dcterms:created xsi:type="dcterms:W3CDTF">2025-02-03T08:49:00Z</dcterms:created>
  <dcterms:modified xsi:type="dcterms:W3CDTF">2025-02-28T10:19:00Z</dcterms:modified>
</cp:coreProperties>
</file>