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621EE6">
        <w:rPr>
          <w:rFonts w:ascii="Courier New" w:hAnsi="Courier New" w:cs="Courier New"/>
          <w:b w:val="0"/>
          <w:i w:val="0"/>
        </w:rPr>
        <w:t>TECNICO DE HACIENDA</w:t>
      </w:r>
    </w:p>
    <w:p w:rsidR="00621EE6" w:rsidRDefault="00621EE6" w:rsidP="00621EE6">
      <w:pPr>
        <w:pStyle w:val="foral-f-titulo3-t6-c"/>
        <w:spacing w:after="0" w:line="360" w:lineRule="auto"/>
        <w:jc w:val="center"/>
        <w:rPr>
          <w:rFonts w:ascii="Courier New" w:hAnsi="Courier New" w:cs="Courier New"/>
          <w:b w:val="0"/>
          <w:i w:val="0"/>
        </w:rPr>
      </w:pPr>
    </w:p>
    <w:tbl>
      <w:tblPr>
        <w:tblW w:w="9749" w:type="dxa"/>
        <w:tblInd w:w="55" w:type="dxa"/>
        <w:tblCellMar>
          <w:left w:w="70" w:type="dxa"/>
          <w:right w:w="70" w:type="dxa"/>
        </w:tblCellMar>
        <w:tblLook w:val="04A0" w:firstRow="1" w:lastRow="0" w:firstColumn="1" w:lastColumn="0" w:noHBand="0" w:noVBand="1"/>
      </w:tblPr>
      <w:tblGrid>
        <w:gridCol w:w="741"/>
        <w:gridCol w:w="2393"/>
        <w:gridCol w:w="2853"/>
        <w:gridCol w:w="1221"/>
        <w:gridCol w:w="741"/>
        <w:gridCol w:w="1800"/>
      </w:tblGrid>
      <w:tr w:rsidR="00167195" w:rsidRPr="0046794D" w:rsidTr="007260DC">
        <w:trPr>
          <w:trHeight w:val="540"/>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195" w:rsidRPr="0046794D" w:rsidRDefault="00167195" w:rsidP="007260DC">
            <w:pPr>
              <w:jc w:val="center"/>
              <w:rPr>
                <w:rFonts w:ascii="Courier New" w:hAnsi="Courier New" w:cs="Courier New"/>
                <w:b/>
                <w:bCs/>
                <w:sz w:val="20"/>
                <w:szCs w:val="20"/>
              </w:rPr>
            </w:pPr>
            <w:r w:rsidRPr="0046794D">
              <w:rPr>
                <w:rFonts w:ascii="Courier New" w:hAnsi="Courier New" w:cs="Courier New"/>
                <w:b/>
                <w:bCs/>
                <w:sz w:val="20"/>
                <w:szCs w:val="20"/>
              </w:rPr>
              <w:t>Plaza</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rsidR="00167195" w:rsidRPr="0046794D" w:rsidRDefault="00167195" w:rsidP="007260DC">
            <w:pPr>
              <w:jc w:val="center"/>
              <w:rPr>
                <w:rFonts w:ascii="Courier New" w:hAnsi="Courier New" w:cs="Courier New"/>
                <w:b/>
                <w:bCs/>
                <w:sz w:val="20"/>
                <w:szCs w:val="20"/>
              </w:rPr>
            </w:pPr>
            <w:r w:rsidRPr="0046794D">
              <w:rPr>
                <w:rFonts w:ascii="Courier New" w:hAnsi="Courier New" w:cs="Courier New"/>
                <w:b/>
                <w:bCs/>
                <w:sz w:val="20"/>
                <w:szCs w:val="20"/>
              </w:rPr>
              <w:t>Departamento</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rsidR="00167195" w:rsidRPr="0046794D" w:rsidRDefault="00167195" w:rsidP="00063DA4">
            <w:pPr>
              <w:jc w:val="center"/>
              <w:rPr>
                <w:rFonts w:ascii="Courier New" w:hAnsi="Courier New" w:cs="Courier New"/>
                <w:b/>
                <w:bCs/>
                <w:sz w:val="20"/>
                <w:szCs w:val="20"/>
              </w:rPr>
            </w:pPr>
            <w:r w:rsidRPr="0046794D">
              <w:rPr>
                <w:rFonts w:ascii="Courier New" w:hAnsi="Courier New" w:cs="Courier New"/>
                <w:b/>
                <w:bCs/>
                <w:sz w:val="20"/>
                <w:szCs w:val="20"/>
              </w:rPr>
              <w:t xml:space="preserve">Ámbito de </w:t>
            </w:r>
            <w:r>
              <w:rPr>
                <w:rFonts w:ascii="Courier New" w:hAnsi="Courier New" w:cs="Courier New"/>
                <w:b/>
                <w:bCs/>
                <w:sz w:val="20"/>
                <w:szCs w:val="20"/>
              </w:rPr>
              <w:t>adscripción</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167195" w:rsidRPr="0046794D" w:rsidRDefault="00167195" w:rsidP="007260DC">
            <w:pPr>
              <w:jc w:val="center"/>
              <w:rPr>
                <w:rFonts w:ascii="Courier New" w:hAnsi="Courier New" w:cs="Courier New"/>
                <w:b/>
                <w:bCs/>
                <w:sz w:val="20"/>
                <w:szCs w:val="20"/>
              </w:rPr>
            </w:pPr>
            <w:r w:rsidRPr="0046794D">
              <w:rPr>
                <w:rFonts w:ascii="Courier New" w:hAnsi="Courier New" w:cs="Courier New"/>
                <w:b/>
                <w:bCs/>
                <w:sz w:val="20"/>
                <w:szCs w:val="20"/>
              </w:rPr>
              <w:t>Localidad</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167195" w:rsidRPr="0046794D" w:rsidRDefault="00167195" w:rsidP="007260DC">
            <w:pPr>
              <w:jc w:val="center"/>
              <w:rPr>
                <w:rFonts w:ascii="Courier New" w:hAnsi="Courier New" w:cs="Courier New"/>
                <w:b/>
                <w:bCs/>
                <w:sz w:val="20"/>
                <w:szCs w:val="20"/>
              </w:rPr>
            </w:pPr>
            <w:r w:rsidRPr="0046794D">
              <w:rPr>
                <w:rFonts w:ascii="Courier New" w:hAnsi="Courier New" w:cs="Courier New"/>
                <w:b/>
                <w:bCs/>
                <w:sz w:val="20"/>
                <w:szCs w:val="20"/>
              </w:rPr>
              <w:t>Zona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67195" w:rsidRPr="0046794D" w:rsidRDefault="00167195" w:rsidP="007260DC">
            <w:pPr>
              <w:jc w:val="center"/>
              <w:rPr>
                <w:rFonts w:ascii="Courier New" w:hAnsi="Courier New" w:cs="Courier New"/>
                <w:b/>
                <w:bCs/>
                <w:sz w:val="20"/>
                <w:szCs w:val="20"/>
              </w:rPr>
            </w:pPr>
            <w:r w:rsidRPr="0046794D">
              <w:rPr>
                <w:rFonts w:ascii="Courier New" w:hAnsi="Courier New" w:cs="Courier New"/>
                <w:b/>
                <w:bCs/>
                <w:sz w:val="20"/>
                <w:szCs w:val="20"/>
              </w:rPr>
              <w:t>Régimen Jurídico</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1140</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1278</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5832</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6755</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bookmarkStart w:id="0" w:name="_GoBack"/>
            <w:bookmarkEnd w:id="0"/>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6811</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6923</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6925</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9716</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r w:rsidR="00167195" w:rsidRPr="0046794D" w:rsidTr="00167195">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tcPr>
          <w:p w:rsidR="00167195" w:rsidRDefault="00167195" w:rsidP="00167195">
            <w:pPr>
              <w:jc w:val="center"/>
              <w:rPr>
                <w:rFonts w:ascii="Calibri" w:hAnsi="Calibri" w:cs="Calibri"/>
                <w:color w:val="000000"/>
                <w:sz w:val="18"/>
                <w:szCs w:val="18"/>
              </w:rPr>
            </w:pPr>
            <w:r>
              <w:rPr>
                <w:rFonts w:ascii="Calibri" w:hAnsi="Calibri" w:cs="Calibri"/>
                <w:color w:val="000000"/>
                <w:sz w:val="18"/>
                <w:szCs w:val="18"/>
              </w:rPr>
              <w:t>10770</w:t>
            </w:r>
          </w:p>
        </w:tc>
        <w:tc>
          <w:tcPr>
            <w:tcW w:w="239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DP ECONOMIA Y HACIENDA</w:t>
            </w:r>
          </w:p>
        </w:tc>
        <w:tc>
          <w:tcPr>
            <w:tcW w:w="2853"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HACIENDA FORAL DE NAVARRA</w:t>
            </w:r>
          </w:p>
        </w:tc>
        <w:tc>
          <w:tcPr>
            <w:tcW w:w="122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PAMPLONA</w:t>
            </w:r>
          </w:p>
        </w:tc>
        <w:tc>
          <w:tcPr>
            <w:tcW w:w="741"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MIXTA</w:t>
            </w:r>
          </w:p>
        </w:tc>
        <w:tc>
          <w:tcPr>
            <w:tcW w:w="1800" w:type="dxa"/>
            <w:tcBorders>
              <w:top w:val="nil"/>
              <w:left w:val="nil"/>
              <w:bottom w:val="single" w:sz="4" w:space="0" w:color="auto"/>
              <w:right w:val="single" w:sz="4" w:space="0" w:color="auto"/>
            </w:tcBorders>
            <w:shd w:val="clear" w:color="auto" w:fill="auto"/>
            <w:noWrap/>
            <w:vAlign w:val="center"/>
          </w:tcPr>
          <w:p w:rsidR="00167195" w:rsidRDefault="00167195" w:rsidP="00167195">
            <w:pPr>
              <w:rPr>
                <w:rFonts w:ascii="Calibri" w:hAnsi="Calibri" w:cs="Calibri"/>
                <w:color w:val="000000"/>
                <w:sz w:val="18"/>
                <w:szCs w:val="18"/>
              </w:rPr>
            </w:pPr>
            <w:r>
              <w:rPr>
                <w:rFonts w:ascii="Calibri" w:hAnsi="Calibri" w:cs="Calibri"/>
                <w:color w:val="000000"/>
                <w:sz w:val="18"/>
                <w:szCs w:val="18"/>
              </w:rPr>
              <w:t>FUNCIONARIAL</w:t>
            </w:r>
          </w:p>
        </w:tc>
      </w:tr>
    </w:tbl>
    <w:p w:rsidR="00621EE6" w:rsidRDefault="00621EE6" w:rsidP="00621EE6">
      <w:pPr>
        <w:pStyle w:val="foral-f-titulo3-t6-c"/>
        <w:spacing w:after="0" w:line="360" w:lineRule="auto"/>
        <w:jc w:val="center"/>
        <w:rPr>
          <w:rFonts w:ascii="Courier New" w:hAnsi="Courier New" w:cs="Courier New"/>
          <w:b w:val="0"/>
          <w:i w:val="0"/>
        </w:rPr>
      </w:pPr>
    </w:p>
    <w:p w:rsidR="004D209F" w:rsidRDefault="004D209F" w:rsidP="00A254B4">
      <w:pPr>
        <w:pStyle w:val="NormalWeb"/>
        <w:spacing w:line="360" w:lineRule="auto"/>
        <w:jc w:val="both"/>
        <w:rPr>
          <w:rFonts w:ascii="Courier New" w:hAnsi="Courier New" w:cs="Courier New"/>
        </w:rPr>
      </w:pPr>
    </w:p>
    <w:p w:rsidR="00167195" w:rsidRDefault="00167195" w:rsidP="00A254B4">
      <w:pPr>
        <w:pStyle w:val="NormalWeb"/>
        <w:spacing w:line="360" w:lineRule="auto"/>
        <w:jc w:val="both"/>
        <w:rPr>
          <w:rFonts w:ascii="Courier New" w:hAnsi="Courier New" w:cs="Courier New"/>
        </w:rPr>
      </w:pPr>
    </w:p>
    <w:sectPr w:rsidR="00167195"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1B42F"/>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C7C0-EFCA-4767-963F-FAEB71AC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886</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N220964</cp:lastModifiedBy>
  <cp:revision>6</cp:revision>
  <cp:lastPrinted>2021-03-29T12:45:00Z</cp:lastPrinted>
  <dcterms:created xsi:type="dcterms:W3CDTF">2022-06-22T16:52:00Z</dcterms:created>
  <dcterms:modified xsi:type="dcterms:W3CDTF">2025-03-22T08:47:00Z</dcterms:modified>
</cp:coreProperties>
</file>