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8A" w:rsidRDefault="00CF3D8A" w:rsidP="00CF3D8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ANEXO X</w:t>
      </w:r>
    </w:p>
    <w:p w:rsidR="00CF3D8A" w:rsidRDefault="00CF3D8A" w:rsidP="00CF3D8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INDICADORES COMUNES RELATIVOS AL APOYO GENERAL DEL CAPÍTULO DEL FSE+ EN RÉGIMEN DE GESTIÓN COMPARTIDA</w:t>
      </w:r>
    </w:p>
    <w:p w:rsidR="00CF3D8A" w:rsidRDefault="00CF3D8A" w:rsidP="00CF3D8A">
      <w:pPr>
        <w:jc w:val="center"/>
        <w:rPr>
          <w:rFonts w:ascii="Times New Roman" w:hAnsi="Times New Roman"/>
          <w:b/>
          <w:sz w:val="24"/>
        </w:rPr>
      </w:pP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Los datos personales deberán desglosarse por género («masculino», «femenino» o «no binario» (1)).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 ciertos resultados no son posibles, los datos correspondientes a dichos indicadores de resultados no se habrán de recabar ni notificar.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Cuando proceda, podrán notificarse indicadores comunes de realización en función del grupo destinatario de la operación.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</w:p>
    <w:p w:rsidR="00CF3D8A" w:rsidRDefault="00CF3D8A" w:rsidP="00CF3D8A">
      <w:pPr>
        <w:pStyle w:val="Prrafodelista"/>
        <w:numPr>
          <w:ilvl w:val="3"/>
          <w:numId w:val="1"/>
        </w:numPr>
        <w:spacing w:after="120"/>
        <w:ind w:left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Indicadores comunes de realización relativos a las operaciones dirigidas a personas</w:t>
      </w:r>
    </w:p>
    <w:p w:rsidR="00CF3D8A" w:rsidRDefault="00CF3D8A" w:rsidP="00CF3D8A">
      <w:pPr>
        <w:pStyle w:val="Prrafodelista"/>
        <w:numPr>
          <w:ilvl w:val="1"/>
          <w:numId w:val="2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Los indicadores comunes de realización relativos a las personas participantes son:</w:t>
      </w:r>
    </w:p>
    <w:p w:rsidR="00CF3D8A" w:rsidRDefault="00CF3D8A" w:rsidP="00CF3D8A">
      <w:pPr>
        <w:pStyle w:val="Prrafodelista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personas desempleadas, incluidas las de larga duración (*1),</w:t>
      </w:r>
    </w:p>
    <w:p w:rsidR="00CF3D8A" w:rsidRDefault="00CF3D8A" w:rsidP="00CF3D8A">
      <w:pPr>
        <w:pStyle w:val="Prrafodelista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personas desempleadas de larga duración (*1),</w:t>
      </w:r>
    </w:p>
    <w:p w:rsidR="00CF3D8A" w:rsidRDefault="00CF3D8A" w:rsidP="00CF3D8A">
      <w:pPr>
        <w:pStyle w:val="Prrafodelista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personas inactivas (*1),</w:t>
      </w:r>
    </w:p>
    <w:p w:rsidR="00CF3D8A" w:rsidRDefault="00CF3D8A" w:rsidP="00CF3D8A">
      <w:pPr>
        <w:pStyle w:val="Prrafodelista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personas con empleo, incluidas las que trabajan por cuenta propia (*1),</w:t>
      </w:r>
    </w:p>
    <w:p w:rsidR="00CF3D8A" w:rsidRDefault="00CF3D8A" w:rsidP="00CF3D8A">
      <w:pPr>
        <w:pStyle w:val="Prrafodelista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número de niños menores de 18 años (*1),</w:t>
      </w:r>
    </w:p>
    <w:p w:rsidR="00CF3D8A" w:rsidRDefault="00CF3D8A" w:rsidP="00CF3D8A">
      <w:pPr>
        <w:pStyle w:val="Prrafodelista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número de personas jóvenes de edades comprendidas entre los 18 y los 29 años (*1),</w:t>
      </w:r>
    </w:p>
    <w:p w:rsidR="00CF3D8A" w:rsidRDefault="00CF3D8A" w:rsidP="00CF3D8A">
      <w:pPr>
        <w:pStyle w:val="Prrafodelista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número de personas participantes de 55 años o más (*1),</w:t>
      </w:r>
    </w:p>
    <w:p w:rsidR="00CF3D8A" w:rsidRDefault="00CF3D8A" w:rsidP="00CF3D8A">
      <w:pPr>
        <w:pStyle w:val="Prrafodelista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personas con el primer ciclo de enseñanza secundaria como máximo (CINE 0-2) (*1),</w:t>
      </w:r>
    </w:p>
    <w:p w:rsidR="00CF3D8A" w:rsidRDefault="00CF3D8A" w:rsidP="00CF3D8A">
      <w:pPr>
        <w:pStyle w:val="Prrafodelista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personas con el segundo ciclo de enseñanza secundaria (CINE 3) o con enseñanza postsecundaria (CINE 4) (*1),</w:t>
      </w:r>
    </w:p>
    <w:p w:rsidR="00CF3D8A" w:rsidRDefault="00CF3D8A" w:rsidP="00CF3D8A">
      <w:pPr>
        <w:pStyle w:val="Prrafodelista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personas con enseñanza superior o terciaria (CINE 5 a 8) (*1),</w:t>
      </w:r>
    </w:p>
    <w:p w:rsidR="00CF3D8A" w:rsidRDefault="00CF3D8A" w:rsidP="00CF3D8A">
      <w:pPr>
        <w:pStyle w:val="Prrafodelista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número total de participantes (2).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Cuando los datos se extraigan de registros o de fuentes equivalentes, los Estados miembros podrán utilizar definiciones nacionales.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</w:p>
    <w:p w:rsidR="00CF3D8A" w:rsidRDefault="00CF3D8A" w:rsidP="00CF3D8A">
      <w:pPr>
        <w:pStyle w:val="Prrafodelista"/>
        <w:numPr>
          <w:ilvl w:val="1"/>
          <w:numId w:val="2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Otros indicadores comunes de realización relativos a las personas participantes son:</w:t>
      </w:r>
    </w:p>
    <w:p w:rsidR="00CF3D8A" w:rsidRDefault="00CF3D8A" w:rsidP="00CF3D8A">
      <w:pPr>
        <w:pStyle w:val="Prrafodelista"/>
        <w:numPr>
          <w:ilvl w:val="0"/>
          <w:numId w:val="4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participantes con discapacidad (*2),</w:t>
      </w:r>
    </w:p>
    <w:p w:rsidR="00CF3D8A" w:rsidRDefault="00CF3D8A" w:rsidP="00CF3D8A">
      <w:pPr>
        <w:pStyle w:val="Prrafodelista"/>
        <w:numPr>
          <w:ilvl w:val="0"/>
          <w:numId w:val="4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nacionales de terceros países (*1),</w:t>
      </w:r>
    </w:p>
    <w:p w:rsidR="00CF3D8A" w:rsidRDefault="00CF3D8A" w:rsidP="00CF3D8A">
      <w:pPr>
        <w:pStyle w:val="Prrafodelista"/>
        <w:numPr>
          <w:ilvl w:val="0"/>
          <w:numId w:val="4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participantes de origen extranjero (*1),</w:t>
      </w:r>
    </w:p>
    <w:p w:rsidR="00CF3D8A" w:rsidRDefault="00CF3D8A" w:rsidP="00CF3D8A">
      <w:pPr>
        <w:pStyle w:val="Prrafodelista"/>
        <w:numPr>
          <w:ilvl w:val="0"/>
          <w:numId w:val="4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participantes pertenecientes a minorías (incluidas las comunidades marginadas, como la población romaní) (*2),</w:t>
      </w:r>
    </w:p>
    <w:p w:rsidR="00CF3D8A" w:rsidRDefault="00CF3D8A" w:rsidP="00CF3D8A">
      <w:pPr>
        <w:pStyle w:val="Prrafodelista"/>
        <w:numPr>
          <w:ilvl w:val="0"/>
          <w:numId w:val="4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personas sin hogar o afectadas por la exclusión en materia de vivienda (*1),</w:t>
      </w:r>
    </w:p>
    <w:p w:rsidR="00CF3D8A" w:rsidRDefault="00CF3D8A" w:rsidP="00CF3D8A">
      <w:pPr>
        <w:pStyle w:val="Prrafodelista"/>
        <w:numPr>
          <w:ilvl w:val="0"/>
          <w:numId w:val="4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participantes de zonas rurales (*1).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 recogida de datos solo es necesaria cuando proceda y sea pertinente.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Los valores de los indicadores enumerados en el punto 1.2 podrán determinarse sobre la base de estimaciones fundamentadas por parte del beneficiario.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Para los indicadores enumerados en el punto 1.2, los Estados miembros podrán aplicar definiciones nacionales, salvo para los indicadores siguientes: «nacionales de terceros países» y «participantes de zonas rurales».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</w:p>
    <w:p w:rsidR="00CF3D8A" w:rsidRDefault="00CF3D8A" w:rsidP="00CF3D8A">
      <w:pPr>
        <w:pStyle w:val="Prrafodelista"/>
        <w:numPr>
          <w:ilvl w:val="0"/>
          <w:numId w:val="2"/>
        </w:num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Indicadores comunes de resultados inmediatos relativos a las personas participantes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Los indicadores comunes de resultados inmediatos relativos a las personas participantes son:</w:t>
      </w:r>
    </w:p>
    <w:p w:rsidR="00CF3D8A" w:rsidRDefault="00CF3D8A" w:rsidP="00CF3D8A">
      <w:pPr>
        <w:pStyle w:val="Prrafodelista"/>
        <w:numPr>
          <w:ilvl w:val="0"/>
          <w:numId w:val="5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participantes que buscan trabajo tras su participación (*1),</w:t>
      </w:r>
    </w:p>
    <w:p w:rsidR="00CF3D8A" w:rsidRDefault="00CF3D8A" w:rsidP="00CF3D8A">
      <w:pPr>
        <w:pStyle w:val="Prrafodelista"/>
        <w:numPr>
          <w:ilvl w:val="0"/>
          <w:numId w:val="5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participantes que se han integrado en los sistemas de educación o formación tras su participación (*1),</w:t>
      </w:r>
    </w:p>
    <w:p w:rsidR="00CF3D8A" w:rsidRDefault="00CF3D8A" w:rsidP="00CF3D8A">
      <w:pPr>
        <w:pStyle w:val="Prrafodelista"/>
        <w:numPr>
          <w:ilvl w:val="0"/>
          <w:numId w:val="5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participantes que obtienen una cualificación tras su participación (*1),</w:t>
      </w:r>
    </w:p>
    <w:p w:rsidR="00CF3D8A" w:rsidRDefault="00CF3D8A" w:rsidP="00CF3D8A">
      <w:pPr>
        <w:pStyle w:val="Prrafodelista"/>
        <w:numPr>
          <w:ilvl w:val="0"/>
          <w:numId w:val="5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participantes que tienen un empleo, incluido por cuenta propia, tras su participación (*1).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Cuando los datos se extraigan de registros o de fuentes equivalentes, los Estados miembros podrán utilizar definiciones nacionales.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</w:p>
    <w:p w:rsidR="00CF3D8A" w:rsidRDefault="00CF3D8A" w:rsidP="00CF3D8A">
      <w:pPr>
        <w:pStyle w:val="Prrafodelista"/>
        <w:numPr>
          <w:ilvl w:val="0"/>
          <w:numId w:val="2"/>
        </w:num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Indicadores comunes de resultados a largo plazo relativos a las personas participantes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Los indicadores comunes de resultados a largo plazo relativos a las personas participantes son:</w:t>
      </w:r>
    </w:p>
    <w:p w:rsidR="00CF3D8A" w:rsidRDefault="00CF3D8A" w:rsidP="00CF3D8A">
      <w:pPr>
        <w:pStyle w:val="Prrafodelista"/>
        <w:numPr>
          <w:ilvl w:val="0"/>
          <w:numId w:val="6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participantes que obtienen un empleo, incluido por cuenta propia, en los seis meses siguientes a su participación (*1),</w:t>
      </w:r>
    </w:p>
    <w:p w:rsidR="00CF3D8A" w:rsidRDefault="00CF3D8A" w:rsidP="00CF3D8A">
      <w:pPr>
        <w:pStyle w:val="Prrafodelista"/>
        <w:numPr>
          <w:ilvl w:val="0"/>
          <w:numId w:val="6"/>
        </w:num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participantes que hayan mejorado su situación en el mercado de trabajo en los seis meses siguientes a su participación (*1).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Cuando los datos se extraigan de registros o de fuentes equivalentes, los Estados miembros podrán utilizar definiciones nacionales.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Los indicadores comunes de resultados a largo plazo se comunicarán a más tardar el 31 de enero de 2026, de conformidad con el artículo 42, apartado 1, del Reglamento (UE) 2021/1060 y el informe final de rendimiento a que se refiere el artículo 43 de dicho Reglamento.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Como requisito mínimo, los indicadores comunes de resultados a largo plazo se basarán en una muestra representativa de los participantes en los objetivos específicos establecidos en el artículo 4, apartado 1, letras a) a k). La validez interna de la muestra </w:t>
      </w:r>
      <w:r>
        <w:rPr>
          <w:rFonts w:ascii="Times New Roman" w:hAnsi="Times New Roman"/>
          <w:sz w:val="24"/>
        </w:rPr>
        <w:lastRenderedPageBreak/>
        <w:t>deberá garantizarse de manera que los datos puedan generalizarse a nivel del objetivo específico.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 Según el Derecho nacional.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(*1) Los datos comunicados son datos personales en el sentido del artículo 4, apartado 1, del Reglamento (UE) 2016/679.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 Este indicador deberá calcularse automáticamente sobre la base de los indicadores comunes de realización relativos a la situación laboral.</w:t>
      </w:r>
    </w:p>
    <w:p w:rsidR="00CF3D8A" w:rsidRDefault="00CF3D8A" w:rsidP="00CF3D8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(*2) Los datos comunicados comprenden una categoría especial de datos personales en el sentido del artículo 9 del Reglamento (UE) 2016/679.</w:t>
      </w:r>
    </w:p>
    <w:p w:rsidR="00CF3D8A" w:rsidRDefault="00CF3D8A" w:rsidP="00CF3D8A">
      <w:pPr>
        <w:spacing w:line="259" w:lineRule="auto"/>
        <w:rPr>
          <w:rFonts w:ascii="Times New Roman" w:hAnsi="Times New Roman"/>
          <w:sz w:val="24"/>
        </w:rPr>
      </w:pPr>
      <w:bookmarkStart w:id="0" w:name="_GoBack"/>
      <w:bookmarkEnd w:id="0"/>
    </w:p>
    <w:sectPr w:rsidR="00CF3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0213"/>
    <w:multiLevelType w:val="hybridMultilevel"/>
    <w:tmpl w:val="7DB64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4401"/>
    <w:multiLevelType w:val="multilevel"/>
    <w:tmpl w:val="17904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CCA321B"/>
    <w:multiLevelType w:val="hybridMultilevel"/>
    <w:tmpl w:val="C354E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4C5"/>
    <w:multiLevelType w:val="hybridMultilevel"/>
    <w:tmpl w:val="4496B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265C9"/>
    <w:multiLevelType w:val="hybridMultilevel"/>
    <w:tmpl w:val="C5C6E7E8"/>
    <w:lvl w:ilvl="0" w:tplc="0C0A0015">
      <w:start w:val="1"/>
      <w:numFmt w:val="upperLetter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57856"/>
    <w:multiLevelType w:val="hybridMultilevel"/>
    <w:tmpl w:val="BC70A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8A"/>
    <w:rsid w:val="00682864"/>
    <w:rsid w:val="00A121D7"/>
    <w:rsid w:val="00CF3D8A"/>
    <w:rsid w:val="00E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DD97"/>
  <w15:chartTrackingRefBased/>
  <w15:docId w15:val="{25089CA8-F671-4E50-B4C1-181A05D9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8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CF3D8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F3D8A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x067909</dc:creator>
  <cp:keywords/>
  <dc:description/>
  <cp:lastModifiedBy>x067909</cp:lastModifiedBy>
  <cp:revision>2</cp:revision>
  <dcterms:created xsi:type="dcterms:W3CDTF">2024-05-14T10:52:00Z</dcterms:created>
  <dcterms:modified xsi:type="dcterms:W3CDTF">2024-05-14T10:54:00Z</dcterms:modified>
</cp:coreProperties>
</file>