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6D" w:rsidRPr="00650EF4" w:rsidRDefault="0006496D" w:rsidP="008E1F9E">
      <w:pPr>
        <w:jc w:val="center"/>
        <w:rPr>
          <w:rFonts w:ascii="Arial" w:hAnsi="Arial" w:cs="Arial"/>
          <w:b/>
          <w:lang w:val="es-ES_tradnl"/>
        </w:rPr>
      </w:pPr>
      <w:r>
        <w:rPr>
          <w:rFonts w:ascii="Arial" w:hAnsi="Arial" w:cs="Arial"/>
          <w:b/>
          <w:lang w:val="es-ES_tradnl"/>
        </w:rPr>
        <w:t>NOVEDADES EN LA CONVOCATORIA DE 2023</w:t>
      </w:r>
    </w:p>
    <w:p w:rsidR="0006496D" w:rsidRDefault="0006496D" w:rsidP="0006496D">
      <w:pPr>
        <w:jc w:val="both"/>
        <w:rPr>
          <w:rFonts w:ascii="Arial" w:hAnsi="Arial" w:cs="Arial"/>
          <w:b/>
          <w:lang w:val="es-ES_tradnl"/>
        </w:rPr>
      </w:pPr>
    </w:p>
    <w:p w:rsidR="0006496D" w:rsidRPr="008E1F9E" w:rsidRDefault="0006496D" w:rsidP="0006496D">
      <w:pPr>
        <w:jc w:val="both"/>
        <w:rPr>
          <w:rFonts w:ascii="Arial" w:hAnsi="Arial" w:cs="Arial"/>
          <w:b/>
          <w:color w:val="FF0000"/>
          <w:lang w:val="es-ES_tradnl"/>
        </w:rPr>
      </w:pPr>
      <w:r w:rsidRPr="008E1F9E">
        <w:rPr>
          <w:rFonts w:ascii="Arial" w:hAnsi="Arial" w:cs="Arial"/>
          <w:b/>
          <w:color w:val="FF0000"/>
          <w:lang w:val="es-ES_tradnl"/>
        </w:rPr>
        <w:t>LÍNEAS GENERALES COINCIDENTES CON 2022</w:t>
      </w:r>
    </w:p>
    <w:p w:rsidR="0006496D" w:rsidRPr="00650EF4" w:rsidRDefault="0006496D" w:rsidP="0006496D">
      <w:pPr>
        <w:jc w:val="both"/>
        <w:rPr>
          <w:rFonts w:ascii="Arial" w:hAnsi="Arial" w:cs="Arial"/>
          <w:lang w:val="es-ES_tradnl"/>
        </w:rPr>
      </w:pPr>
      <w:r w:rsidRPr="00650EF4">
        <w:rPr>
          <w:rFonts w:ascii="Arial" w:hAnsi="Arial" w:cs="Arial"/>
          <w:lang w:val="es-ES_tradnl"/>
        </w:rPr>
        <w:t>Modalidades de proyecto: Individual, Colaboración y Transferencia.</w:t>
      </w:r>
    </w:p>
    <w:p w:rsidR="0006496D" w:rsidRPr="00650EF4" w:rsidRDefault="0006496D" w:rsidP="0006496D">
      <w:pPr>
        <w:jc w:val="both"/>
        <w:rPr>
          <w:rFonts w:ascii="Arial" w:hAnsi="Arial" w:cs="Arial"/>
          <w:lang w:val="es-ES_tradnl"/>
        </w:rPr>
      </w:pPr>
      <w:r w:rsidRPr="00650EF4">
        <w:rPr>
          <w:rFonts w:ascii="Arial" w:hAnsi="Arial" w:cs="Arial"/>
          <w:lang w:val="es-ES_tradnl"/>
        </w:rPr>
        <w:t>Presupuesto</w:t>
      </w:r>
      <w:r>
        <w:rPr>
          <w:rFonts w:ascii="Arial" w:hAnsi="Arial" w:cs="Arial"/>
          <w:lang w:val="es-ES_tradnl"/>
        </w:rPr>
        <w:t>: 12M€.</w:t>
      </w:r>
    </w:p>
    <w:p w:rsidR="0006496D" w:rsidRPr="00650EF4" w:rsidRDefault="0006496D" w:rsidP="0006496D">
      <w:pPr>
        <w:jc w:val="both"/>
        <w:rPr>
          <w:rFonts w:ascii="Arial" w:hAnsi="Arial" w:cs="Arial"/>
          <w:lang w:val="es-ES_tradnl"/>
        </w:rPr>
      </w:pPr>
      <w:r w:rsidRPr="00650EF4">
        <w:rPr>
          <w:rFonts w:ascii="Arial" w:hAnsi="Arial" w:cs="Arial"/>
          <w:lang w:val="es-ES_tradnl"/>
        </w:rPr>
        <w:t>Reparto por modalidades 4M€</w:t>
      </w:r>
      <w:r>
        <w:rPr>
          <w:rFonts w:ascii="Arial" w:hAnsi="Arial" w:cs="Arial"/>
          <w:lang w:val="es-ES_tradnl"/>
        </w:rPr>
        <w:t xml:space="preserve"> cada modalidad</w:t>
      </w:r>
    </w:p>
    <w:p w:rsidR="0006496D" w:rsidRDefault="0006496D" w:rsidP="0006496D">
      <w:pPr>
        <w:jc w:val="both"/>
        <w:rPr>
          <w:rFonts w:ascii="Arial" w:hAnsi="Arial" w:cs="Arial"/>
          <w:lang w:val="es-ES_tradnl"/>
        </w:rPr>
      </w:pPr>
      <w:r>
        <w:rPr>
          <w:rFonts w:ascii="Arial" w:hAnsi="Arial" w:cs="Arial"/>
          <w:lang w:val="es-ES_tradnl"/>
        </w:rPr>
        <w:t>Efecto incentivador. Inicio después de la solicitud (previsión 21 de julio).</w:t>
      </w:r>
    </w:p>
    <w:p w:rsidR="0006496D" w:rsidRDefault="0006496D" w:rsidP="0006496D">
      <w:pPr>
        <w:jc w:val="both"/>
        <w:rPr>
          <w:rFonts w:ascii="Arial" w:hAnsi="Arial" w:cs="Arial"/>
          <w:lang w:val="es-ES_tradnl"/>
        </w:rPr>
      </w:pPr>
      <w:r>
        <w:rPr>
          <w:rFonts w:ascii="Arial" w:hAnsi="Arial" w:cs="Arial"/>
          <w:lang w:val="es-ES_tradnl"/>
        </w:rPr>
        <w:t>Plazo de finalización de proyectos. Hasta el 31 de julio de 2025.</w:t>
      </w:r>
    </w:p>
    <w:p w:rsidR="0006496D" w:rsidRDefault="0006496D" w:rsidP="0006496D">
      <w:pPr>
        <w:jc w:val="both"/>
        <w:rPr>
          <w:rFonts w:ascii="Arial" w:hAnsi="Arial" w:cs="Arial"/>
          <w:lang w:val="es-ES_tradnl"/>
        </w:rPr>
      </w:pPr>
      <w:r>
        <w:rPr>
          <w:rFonts w:ascii="Arial" w:hAnsi="Arial" w:cs="Arial"/>
          <w:lang w:val="es-ES_tradnl"/>
        </w:rPr>
        <w:t>3 periodos de ejecución, correspondientes a las cuantías de abono anuales:</w:t>
      </w:r>
    </w:p>
    <w:p w:rsidR="0006496D" w:rsidRDefault="0006496D" w:rsidP="0006496D">
      <w:pPr>
        <w:ind w:left="567"/>
        <w:jc w:val="both"/>
        <w:rPr>
          <w:rFonts w:ascii="Arial" w:hAnsi="Arial" w:cs="Arial"/>
          <w:lang w:val="es-ES_tradnl"/>
        </w:rPr>
      </w:pPr>
      <w:r>
        <w:rPr>
          <w:rFonts w:ascii="Arial" w:hAnsi="Arial" w:cs="Arial"/>
          <w:lang w:val="es-ES_tradnl"/>
        </w:rPr>
        <w:t>Inicio - 31/10/2023 - 31/10/2024 - Fin</w:t>
      </w:r>
    </w:p>
    <w:p w:rsidR="0006496D" w:rsidRDefault="0006496D" w:rsidP="0006496D">
      <w:pPr>
        <w:jc w:val="both"/>
        <w:rPr>
          <w:rFonts w:ascii="Arial" w:hAnsi="Arial" w:cs="Arial"/>
          <w:lang w:val="es-ES_tradnl"/>
        </w:rPr>
      </w:pPr>
      <w:r>
        <w:rPr>
          <w:rFonts w:ascii="Arial" w:hAnsi="Arial" w:cs="Arial"/>
          <w:lang w:val="es-ES_tradnl"/>
        </w:rPr>
        <w:t>Máximos por empresa (200.000 €) y proyecto (500.000 €).</w:t>
      </w:r>
    </w:p>
    <w:p w:rsidR="0006496D" w:rsidRDefault="0006496D" w:rsidP="0006496D">
      <w:pPr>
        <w:jc w:val="both"/>
        <w:rPr>
          <w:rFonts w:ascii="Arial" w:hAnsi="Arial" w:cs="Arial"/>
          <w:lang w:val="es-ES_tradnl"/>
        </w:rPr>
      </w:pPr>
      <w:r w:rsidRPr="00A3364C">
        <w:rPr>
          <w:rFonts w:ascii="Arial" w:hAnsi="Arial" w:cs="Arial"/>
          <w:lang w:val="es-ES_tradnl"/>
        </w:rPr>
        <w:t xml:space="preserve">No </w:t>
      </w:r>
      <w:r>
        <w:rPr>
          <w:rFonts w:ascii="Arial" w:hAnsi="Arial" w:cs="Arial"/>
          <w:lang w:val="es-ES_tradnl"/>
        </w:rPr>
        <w:t>es</w:t>
      </w:r>
      <w:r w:rsidRPr="00A3364C">
        <w:rPr>
          <w:rFonts w:ascii="Arial" w:hAnsi="Arial" w:cs="Arial"/>
          <w:lang w:val="es-ES_tradnl"/>
        </w:rPr>
        <w:t xml:space="preserve"> subsanable la no presentación de </w:t>
      </w:r>
      <w:r>
        <w:rPr>
          <w:rFonts w:ascii="Arial" w:hAnsi="Arial" w:cs="Arial"/>
          <w:lang w:val="es-ES_tradnl"/>
        </w:rPr>
        <w:t>Formulario ni de Memoria</w:t>
      </w:r>
      <w:r w:rsidRPr="00A3364C">
        <w:rPr>
          <w:rFonts w:ascii="Arial" w:hAnsi="Arial" w:cs="Arial"/>
          <w:lang w:val="es-ES_tradnl"/>
        </w:rPr>
        <w:t>.</w:t>
      </w:r>
      <w:r>
        <w:rPr>
          <w:rFonts w:ascii="Arial" w:hAnsi="Arial" w:cs="Arial"/>
          <w:lang w:val="es-ES_tradnl"/>
        </w:rPr>
        <w:t xml:space="preserve"> Por concurrencia competitiva tampoco se piden aclaraciones.</w:t>
      </w:r>
    </w:p>
    <w:p w:rsidR="0006496D" w:rsidRDefault="0006496D" w:rsidP="0006496D">
      <w:pPr>
        <w:jc w:val="both"/>
        <w:rPr>
          <w:rFonts w:ascii="Arial" w:hAnsi="Arial" w:cs="Arial"/>
          <w:lang w:val="es-ES_tradnl"/>
        </w:rPr>
      </w:pPr>
      <w:r>
        <w:rPr>
          <w:rFonts w:ascii="Arial" w:hAnsi="Arial" w:cs="Arial"/>
          <w:lang w:val="es-ES_tradnl"/>
        </w:rPr>
        <w:t>Límite del 50% de subcontratación.</w:t>
      </w:r>
    </w:p>
    <w:p w:rsidR="0006496D" w:rsidRDefault="0006496D" w:rsidP="0006496D">
      <w:pPr>
        <w:jc w:val="both"/>
        <w:rPr>
          <w:rFonts w:ascii="Arial" w:hAnsi="Arial" w:cs="Arial"/>
          <w:lang w:val="es-ES_tradnl"/>
        </w:rPr>
      </w:pPr>
      <w:r>
        <w:rPr>
          <w:rFonts w:ascii="Arial" w:hAnsi="Arial" w:cs="Arial"/>
          <w:lang w:val="es-ES_tradnl"/>
        </w:rPr>
        <w:t>1 solicitud de modificaciones autorizable por periodo y 10% entre partidas sin autorización.</w:t>
      </w:r>
    </w:p>
    <w:p w:rsidR="0006496D" w:rsidRDefault="0006496D" w:rsidP="0006496D">
      <w:pPr>
        <w:jc w:val="both"/>
        <w:rPr>
          <w:rFonts w:ascii="Arial" w:hAnsi="Arial" w:cs="Arial"/>
          <w:lang w:val="es-ES_tradnl"/>
        </w:rPr>
      </w:pPr>
      <w:r>
        <w:rPr>
          <w:rFonts w:ascii="Arial" w:hAnsi="Arial" w:cs="Arial"/>
          <w:lang w:val="es-ES_tradnl"/>
        </w:rPr>
        <w:t>La asignación de ayudas por periodos es determinada por la beneficiaria.</w:t>
      </w:r>
    </w:p>
    <w:p w:rsidR="0006496D" w:rsidRDefault="0006496D" w:rsidP="0006496D">
      <w:pPr>
        <w:jc w:val="both"/>
        <w:rPr>
          <w:rFonts w:ascii="Arial" w:hAnsi="Arial" w:cs="Arial"/>
          <w:lang w:val="es-ES_tradnl"/>
        </w:rPr>
      </w:pPr>
    </w:p>
    <w:p w:rsidR="0006496D" w:rsidRDefault="0006496D" w:rsidP="0006496D">
      <w:pPr>
        <w:jc w:val="both"/>
        <w:rPr>
          <w:rFonts w:ascii="Arial" w:hAnsi="Arial" w:cs="Arial"/>
          <w:lang w:val="es-ES_tradnl"/>
        </w:rPr>
      </w:pPr>
    </w:p>
    <w:p w:rsidR="0006496D" w:rsidRPr="00650EF4" w:rsidRDefault="0006496D" w:rsidP="0006496D">
      <w:pPr>
        <w:jc w:val="both"/>
        <w:rPr>
          <w:rFonts w:ascii="Arial" w:hAnsi="Arial" w:cs="Arial"/>
          <w:lang w:val="es-ES_tradnl"/>
        </w:rPr>
      </w:pPr>
    </w:p>
    <w:p w:rsidR="002A3A84" w:rsidRPr="008E1F9E" w:rsidRDefault="002A3A84" w:rsidP="002A3A84">
      <w:pPr>
        <w:jc w:val="both"/>
        <w:rPr>
          <w:rFonts w:ascii="Arial" w:hAnsi="Arial" w:cs="Arial"/>
          <w:b/>
          <w:color w:val="FF0000"/>
          <w:lang w:val="es-ES_tradnl"/>
        </w:rPr>
      </w:pPr>
      <w:r w:rsidRPr="008E1F9E">
        <w:rPr>
          <w:rFonts w:ascii="Arial" w:hAnsi="Arial" w:cs="Arial"/>
          <w:b/>
          <w:color w:val="FF0000"/>
          <w:lang w:val="es-ES_tradnl"/>
        </w:rPr>
        <w:t>DIFERENCIAS EN 2023</w:t>
      </w:r>
    </w:p>
    <w:p w:rsidR="002A3A84" w:rsidRDefault="002A3A84" w:rsidP="002A3A84">
      <w:pPr>
        <w:jc w:val="both"/>
        <w:rPr>
          <w:rFonts w:ascii="Arial" w:hAnsi="Arial" w:cs="Arial"/>
          <w:b/>
          <w:lang w:val="es-ES_tradnl"/>
        </w:rPr>
      </w:pPr>
    </w:p>
    <w:p w:rsidR="002A3A84" w:rsidRPr="00650EF4" w:rsidRDefault="002A3A84" w:rsidP="002A3A84">
      <w:pPr>
        <w:jc w:val="both"/>
        <w:rPr>
          <w:rFonts w:ascii="Arial" w:hAnsi="Arial" w:cs="Arial"/>
          <w:b/>
          <w:lang w:val="es-ES_tradnl"/>
        </w:rPr>
      </w:pPr>
      <w:r>
        <w:rPr>
          <w:rFonts w:ascii="Arial" w:hAnsi="Arial" w:cs="Arial"/>
          <w:b/>
          <w:lang w:val="es-ES_tradnl"/>
        </w:rPr>
        <w:t>Solicitud</w:t>
      </w:r>
    </w:p>
    <w:p w:rsidR="002A3A84" w:rsidRDefault="002A3A84" w:rsidP="002A3A84">
      <w:pPr>
        <w:jc w:val="both"/>
        <w:rPr>
          <w:rFonts w:ascii="Arial" w:hAnsi="Arial" w:cs="Arial"/>
          <w:lang w:val="es-ES_tradnl"/>
        </w:rPr>
      </w:pPr>
      <w:r>
        <w:rPr>
          <w:rFonts w:ascii="Arial" w:hAnsi="Arial" w:cs="Arial"/>
          <w:lang w:val="es-ES_tradnl"/>
        </w:rPr>
        <w:t>Base 8.3.a). La declaración responsable se rellena únicamente de forma telemática, con la solicitud. Se incluye una guía para que los solicitantes puedan conocer lo que tendrán que rellenar antes del momento de la solicitud.</w:t>
      </w:r>
    </w:p>
    <w:p w:rsidR="002A3A84" w:rsidRDefault="002A3A84" w:rsidP="002A3A84">
      <w:pPr>
        <w:jc w:val="both"/>
        <w:rPr>
          <w:rFonts w:ascii="Arial" w:hAnsi="Arial" w:cs="Arial"/>
          <w:lang w:val="es-ES_tradnl"/>
        </w:rPr>
      </w:pPr>
      <w:r>
        <w:rPr>
          <w:rFonts w:ascii="Arial" w:hAnsi="Arial" w:cs="Arial"/>
          <w:lang w:val="es-ES_tradnl"/>
        </w:rPr>
        <w:t xml:space="preserve">Bases 8.2. y 19. El sistema de notificación cambia de DEH a </w:t>
      </w:r>
      <w:proofErr w:type="spellStart"/>
      <w:r>
        <w:rPr>
          <w:rFonts w:ascii="Arial" w:hAnsi="Arial" w:cs="Arial"/>
          <w:lang w:val="es-ES_tradnl"/>
        </w:rPr>
        <w:t>DEHú</w:t>
      </w:r>
      <w:proofErr w:type="spellEnd"/>
      <w:r>
        <w:rPr>
          <w:rFonts w:ascii="Arial" w:hAnsi="Arial" w:cs="Arial"/>
          <w:lang w:val="es-ES_tradnl"/>
        </w:rPr>
        <w:t>.:</w:t>
      </w:r>
    </w:p>
    <w:p w:rsidR="002A3A84" w:rsidRDefault="00AE5D19" w:rsidP="002A3A84">
      <w:pPr>
        <w:jc w:val="both"/>
        <w:rPr>
          <w:rFonts w:ascii="Arial" w:hAnsi="Arial" w:cs="Arial"/>
          <w:lang w:val="es-ES_tradnl"/>
        </w:rPr>
      </w:pPr>
      <w:hyperlink r:id="rId5" w:history="1">
        <w:r w:rsidR="002A3A84" w:rsidRPr="006B4800">
          <w:rPr>
            <w:rStyle w:val="Hipervnculo"/>
            <w:rFonts w:ascii="Arial" w:hAnsi="Arial" w:cs="Arial"/>
            <w:lang w:val="es-ES_tradnl"/>
          </w:rPr>
          <w:t>https://dehu.redsara.es/</w:t>
        </w:r>
      </w:hyperlink>
      <w:r w:rsidR="002A3A84">
        <w:rPr>
          <w:rFonts w:ascii="Arial" w:hAnsi="Arial" w:cs="Arial"/>
          <w:lang w:val="es-ES_tradnl"/>
        </w:rPr>
        <w:t xml:space="preserve"> </w:t>
      </w:r>
    </w:p>
    <w:p w:rsidR="002A3A84" w:rsidRDefault="002A3A84" w:rsidP="002A3A84">
      <w:pPr>
        <w:jc w:val="both"/>
        <w:rPr>
          <w:rFonts w:ascii="Arial" w:hAnsi="Arial" w:cs="Arial"/>
          <w:lang w:val="es-ES_tradnl"/>
        </w:rPr>
      </w:pPr>
      <w:r>
        <w:rPr>
          <w:rFonts w:ascii="Arial" w:hAnsi="Arial" w:cs="Arial"/>
          <w:lang w:val="es-ES_tradnl"/>
        </w:rPr>
        <w:t>Bases 8.3.f). y 16.1.c).  El acuerdo de colaboración se puede presentar hasta 1 mes después de la concesión.</w:t>
      </w:r>
    </w:p>
    <w:p w:rsidR="002A3A84" w:rsidRDefault="002A3A84" w:rsidP="002A3A84">
      <w:pPr>
        <w:jc w:val="both"/>
        <w:rPr>
          <w:rFonts w:ascii="Arial" w:hAnsi="Arial" w:cs="Arial"/>
          <w:lang w:val="es-ES_tradnl"/>
        </w:rPr>
      </w:pPr>
      <w:r>
        <w:rPr>
          <w:rFonts w:ascii="Arial" w:hAnsi="Arial" w:cs="Arial"/>
          <w:lang w:val="es-ES_tradnl"/>
        </w:rPr>
        <w:t xml:space="preserve">Bases 2.4, 8.1.g) y 16.1.b). Morosidad. En los casos que procede presentar </w:t>
      </w:r>
      <w:r w:rsidRPr="00802292">
        <w:rPr>
          <w:rFonts w:ascii="Arial" w:hAnsi="Arial" w:cs="Arial"/>
          <w:lang w:val="es-ES_tradnl"/>
        </w:rPr>
        <w:t>documentación acreditativa de estar al corriente en los pagos a proveedores</w:t>
      </w:r>
      <w:r>
        <w:rPr>
          <w:rFonts w:ascii="Arial" w:hAnsi="Arial" w:cs="Arial"/>
          <w:lang w:val="es-ES_tradnl"/>
        </w:rPr>
        <w:t xml:space="preserve"> se puede presentar hasta 1 mes después de la concesión. (&gt; 30.000 € de ayuda, si no </w:t>
      </w:r>
      <w:r w:rsidRPr="00306B01">
        <w:rPr>
          <w:rFonts w:ascii="Arial" w:hAnsi="Arial" w:cs="Arial"/>
          <w:lang w:val="es-ES_tradnl"/>
        </w:rPr>
        <w:t>pued</w:t>
      </w:r>
      <w:r>
        <w:rPr>
          <w:rFonts w:ascii="Arial" w:hAnsi="Arial" w:cs="Arial"/>
          <w:lang w:val="es-ES_tradnl"/>
        </w:rPr>
        <w:t>en</w:t>
      </w:r>
      <w:r w:rsidRPr="00306B01">
        <w:rPr>
          <w:rFonts w:ascii="Arial" w:hAnsi="Arial" w:cs="Arial"/>
          <w:lang w:val="es-ES_tradnl"/>
        </w:rPr>
        <w:t xml:space="preserve"> presentar cuenta de pérdidas y ganancias abreviada</w:t>
      </w:r>
      <w:r>
        <w:rPr>
          <w:rFonts w:ascii="Arial" w:hAnsi="Arial" w:cs="Arial"/>
          <w:lang w:val="es-ES_tradnl"/>
        </w:rPr>
        <w:t>).</w:t>
      </w:r>
    </w:p>
    <w:p w:rsidR="002A3A84" w:rsidRDefault="002A3A84" w:rsidP="002A3A84">
      <w:pPr>
        <w:rPr>
          <w:rFonts w:ascii="Arial" w:hAnsi="Arial" w:cs="Arial"/>
          <w:lang w:val="es-ES_tradnl"/>
        </w:rPr>
      </w:pPr>
    </w:p>
    <w:p w:rsidR="002A3A84" w:rsidRPr="0081622E" w:rsidRDefault="002A3A84" w:rsidP="002A3A84">
      <w:pPr>
        <w:jc w:val="both"/>
        <w:rPr>
          <w:rFonts w:ascii="Arial" w:hAnsi="Arial" w:cs="Arial"/>
          <w:b/>
          <w:lang w:val="es-ES_tradnl"/>
        </w:rPr>
      </w:pPr>
      <w:r>
        <w:rPr>
          <w:rFonts w:ascii="Arial" w:hAnsi="Arial" w:cs="Arial"/>
          <w:b/>
          <w:lang w:val="es-ES_tradnl"/>
        </w:rPr>
        <w:lastRenderedPageBreak/>
        <w:t>Renuncia los pagos a cuenta:</w:t>
      </w:r>
    </w:p>
    <w:p w:rsidR="002A3A84" w:rsidRDefault="002A3A84" w:rsidP="002A3A84">
      <w:pPr>
        <w:jc w:val="both"/>
        <w:rPr>
          <w:rFonts w:ascii="Arial" w:hAnsi="Arial" w:cs="Arial"/>
          <w:lang w:val="es-ES_tradnl"/>
        </w:rPr>
      </w:pPr>
      <w:r>
        <w:rPr>
          <w:rFonts w:ascii="Arial" w:hAnsi="Arial" w:cs="Arial"/>
          <w:lang w:val="es-ES_tradnl"/>
        </w:rPr>
        <w:t>Primer pago a cuenta. Se mantiene la posibilidad de renuncia. No es necesario esperar aceptación. Se consigna como un derecho, el que lo solicita, lo tiene directamente. Base 15.1.a).</w:t>
      </w:r>
    </w:p>
    <w:p w:rsidR="002A3A84" w:rsidRDefault="002A3A84" w:rsidP="002A3A84">
      <w:pPr>
        <w:jc w:val="both"/>
        <w:rPr>
          <w:rFonts w:ascii="Arial" w:hAnsi="Arial" w:cs="Arial"/>
          <w:lang w:val="es-ES_tradnl"/>
        </w:rPr>
      </w:pPr>
      <w:r>
        <w:rPr>
          <w:rFonts w:ascii="Arial" w:hAnsi="Arial" w:cs="Arial"/>
          <w:lang w:val="es-ES_tradnl"/>
        </w:rPr>
        <w:t>Segundo pago a cuenta. No ha tenido repercusión, y no se regula su renuncia.</w:t>
      </w:r>
    </w:p>
    <w:p w:rsidR="002A3A84" w:rsidRPr="00650EF4" w:rsidRDefault="002A3A84" w:rsidP="002A3A84">
      <w:pPr>
        <w:jc w:val="both"/>
        <w:rPr>
          <w:rFonts w:ascii="Arial" w:hAnsi="Arial" w:cs="Arial"/>
          <w:lang w:val="es-ES_tradnl"/>
        </w:rPr>
      </w:pPr>
    </w:p>
    <w:p w:rsidR="002A3A84" w:rsidRPr="0081622E" w:rsidRDefault="002A3A84" w:rsidP="002A3A84">
      <w:pPr>
        <w:jc w:val="both"/>
        <w:rPr>
          <w:rFonts w:ascii="Arial" w:hAnsi="Arial" w:cs="Arial"/>
          <w:b/>
          <w:lang w:val="es-ES_tradnl"/>
        </w:rPr>
      </w:pPr>
      <w:r>
        <w:rPr>
          <w:rFonts w:ascii="Arial" w:hAnsi="Arial" w:cs="Arial"/>
          <w:b/>
          <w:lang w:val="es-ES_tradnl"/>
        </w:rPr>
        <w:t>Agentes del SINAI:</w:t>
      </w:r>
    </w:p>
    <w:p w:rsidR="002A3A84" w:rsidRDefault="002A3A84" w:rsidP="002A3A84">
      <w:pPr>
        <w:jc w:val="both"/>
        <w:rPr>
          <w:rFonts w:ascii="Arial" w:hAnsi="Arial" w:cs="Arial"/>
          <w:lang w:val="es-ES_tradnl"/>
        </w:rPr>
      </w:pPr>
      <w:r>
        <w:rPr>
          <w:rFonts w:ascii="Arial" w:hAnsi="Arial" w:cs="Arial"/>
          <w:lang w:val="es-ES_tradnl"/>
        </w:rPr>
        <w:t>No hay distinción entre un tipo u otro en la convocatoria.</w:t>
      </w:r>
    </w:p>
    <w:p w:rsidR="002A3A84" w:rsidRPr="00650EF4" w:rsidRDefault="002A3A84" w:rsidP="002A3A84">
      <w:pPr>
        <w:jc w:val="both"/>
        <w:rPr>
          <w:rFonts w:ascii="Arial" w:hAnsi="Arial" w:cs="Arial"/>
          <w:lang w:val="es-ES_tradnl"/>
        </w:rPr>
      </w:pPr>
      <w:r>
        <w:rPr>
          <w:rFonts w:ascii="Arial" w:hAnsi="Arial" w:cs="Arial"/>
          <w:lang w:val="es-ES_tradnl"/>
        </w:rPr>
        <w:t xml:space="preserve">Base 3.1. Proyecto </w:t>
      </w:r>
      <w:r w:rsidRPr="00650EF4">
        <w:rPr>
          <w:rFonts w:ascii="Arial" w:hAnsi="Arial" w:cs="Arial"/>
          <w:lang w:val="es-ES_tradnl"/>
        </w:rPr>
        <w:t xml:space="preserve">Individual: </w:t>
      </w:r>
      <w:r w:rsidRPr="001D0D81">
        <w:rPr>
          <w:rFonts w:ascii="Arial" w:hAnsi="Arial" w:cs="Arial"/>
          <w:lang w:val="es-ES_tradnl"/>
        </w:rPr>
        <w:t xml:space="preserve">Unidades de I+D+i </w:t>
      </w:r>
      <w:r w:rsidRPr="00650EF4">
        <w:rPr>
          <w:rFonts w:ascii="Arial" w:hAnsi="Arial" w:cs="Arial"/>
          <w:lang w:val="es-ES_tradnl"/>
        </w:rPr>
        <w:t>En solitario o con empresas participadas las 25% o más.</w:t>
      </w:r>
    </w:p>
    <w:p w:rsidR="002A3A84" w:rsidRPr="00650EF4" w:rsidRDefault="002A3A84" w:rsidP="002A3A84">
      <w:pPr>
        <w:jc w:val="both"/>
        <w:rPr>
          <w:rFonts w:ascii="Arial" w:hAnsi="Arial" w:cs="Arial"/>
          <w:lang w:val="es-ES_tradnl"/>
        </w:rPr>
      </w:pPr>
      <w:r w:rsidRPr="00650EF4">
        <w:rPr>
          <w:rFonts w:ascii="Arial" w:hAnsi="Arial" w:cs="Arial"/>
          <w:lang w:val="es-ES_tradnl"/>
        </w:rPr>
        <w:t>Transferencia: El resto</w:t>
      </w:r>
      <w:r>
        <w:rPr>
          <w:rFonts w:ascii="Arial" w:hAnsi="Arial" w:cs="Arial"/>
          <w:lang w:val="es-ES_tradnl"/>
        </w:rPr>
        <w:t>.</w:t>
      </w:r>
    </w:p>
    <w:p w:rsidR="002A3A84" w:rsidRDefault="002A3A84" w:rsidP="002A3A84">
      <w:pPr>
        <w:rPr>
          <w:rFonts w:ascii="Arial" w:hAnsi="Arial" w:cs="Arial"/>
          <w:lang w:val="es-ES_tradnl"/>
        </w:rPr>
      </w:pPr>
    </w:p>
    <w:p w:rsidR="002A3A84" w:rsidRPr="00EB3C39" w:rsidRDefault="002A3A84" w:rsidP="002A3A84">
      <w:pPr>
        <w:jc w:val="both"/>
        <w:rPr>
          <w:rFonts w:ascii="Arial" w:hAnsi="Arial" w:cs="Arial"/>
          <w:b/>
          <w:lang w:val="es-ES_tradnl"/>
        </w:rPr>
      </w:pPr>
      <w:r w:rsidRPr="00EB3C39">
        <w:rPr>
          <w:rFonts w:ascii="Arial" w:hAnsi="Arial" w:cs="Arial"/>
          <w:b/>
          <w:lang w:val="es-ES_tradnl"/>
        </w:rPr>
        <w:t>Exigencias:</w:t>
      </w:r>
    </w:p>
    <w:p w:rsidR="002A3A84" w:rsidRPr="00650EF4" w:rsidRDefault="002A3A84" w:rsidP="002A3A84">
      <w:pPr>
        <w:jc w:val="both"/>
        <w:rPr>
          <w:rFonts w:ascii="Arial" w:hAnsi="Arial" w:cs="Arial"/>
        </w:rPr>
      </w:pPr>
      <w:r>
        <w:rPr>
          <w:rFonts w:ascii="Arial" w:hAnsi="Arial" w:cs="Arial"/>
        </w:rPr>
        <w:t xml:space="preserve">Base 2.2.d). </w:t>
      </w:r>
      <w:r w:rsidRPr="00650EF4">
        <w:rPr>
          <w:rFonts w:ascii="Arial" w:hAnsi="Arial" w:cs="Arial"/>
        </w:rPr>
        <w:t>Que su actividad económica no cause ningún perjuicio significativo a objetivos medioambientales. Reglamento (UE) 2020/852</w:t>
      </w:r>
      <w:r>
        <w:rPr>
          <w:rFonts w:ascii="Arial" w:hAnsi="Arial" w:cs="Arial"/>
        </w:rPr>
        <w:t>. DNSH</w:t>
      </w:r>
    </w:p>
    <w:p w:rsidR="002A3A84" w:rsidRDefault="002A3A84" w:rsidP="002A3A84">
      <w:pPr>
        <w:jc w:val="both"/>
        <w:rPr>
          <w:rFonts w:ascii="Arial" w:hAnsi="Arial" w:cs="Arial"/>
        </w:rPr>
      </w:pPr>
      <w:r>
        <w:rPr>
          <w:rFonts w:ascii="Arial" w:hAnsi="Arial" w:cs="Arial"/>
        </w:rPr>
        <w:t xml:space="preserve">Base 2.4. </w:t>
      </w:r>
      <w:r w:rsidRPr="00650EF4">
        <w:rPr>
          <w:rFonts w:ascii="Arial" w:hAnsi="Arial" w:cs="Arial"/>
        </w:rPr>
        <w:t>Morosidad. Ley 3/2004</w:t>
      </w:r>
      <w:r>
        <w:rPr>
          <w:rFonts w:ascii="Arial" w:hAnsi="Arial" w:cs="Arial"/>
        </w:rPr>
        <w:t>. Ayudas &gt; 30.000 €. Declaración responsable en la solicitud o Informe de auditor si no puede presentar cuenta de pérdidas y ganancias abreviada.</w:t>
      </w:r>
    </w:p>
    <w:p w:rsidR="002A3A84" w:rsidRDefault="002A3A84" w:rsidP="002A3A84">
      <w:pPr>
        <w:jc w:val="both"/>
        <w:rPr>
          <w:rFonts w:ascii="Arial" w:hAnsi="Arial" w:cs="Arial"/>
        </w:rPr>
      </w:pPr>
      <w:r>
        <w:rPr>
          <w:rFonts w:ascii="Arial" w:hAnsi="Arial" w:cs="Arial"/>
        </w:rPr>
        <w:t>Base 18.3.d). Compromiso de aplicar medidas antifraude. Declaración responsable en la solicitud.</w:t>
      </w:r>
    </w:p>
    <w:p w:rsidR="002A3A84" w:rsidRPr="0061590B" w:rsidRDefault="002A3A84" w:rsidP="002A3A84">
      <w:pPr>
        <w:jc w:val="both"/>
        <w:rPr>
          <w:rFonts w:ascii="Arial" w:hAnsi="Arial" w:cs="Arial"/>
          <w:lang w:val="es-ES_tradnl"/>
        </w:rPr>
      </w:pPr>
      <w:r>
        <w:rPr>
          <w:rFonts w:ascii="Arial" w:hAnsi="Arial" w:cs="Arial"/>
        </w:rPr>
        <w:t>Base 14.2. Todas las beneficiarias en las 2 justificaciones, deben presentar informe de auditoría con l</w:t>
      </w:r>
      <w:r w:rsidRPr="0061590B">
        <w:rPr>
          <w:rFonts w:ascii="Arial" w:hAnsi="Arial" w:cs="Arial"/>
        </w:rPr>
        <w:t>istado de comprobación</w:t>
      </w:r>
      <w:r>
        <w:rPr>
          <w:rFonts w:ascii="Arial" w:hAnsi="Arial" w:cs="Arial"/>
        </w:rPr>
        <w:t>, como figura más abajo</w:t>
      </w:r>
      <w:r w:rsidRPr="0061590B">
        <w:rPr>
          <w:rFonts w:ascii="Arial" w:hAnsi="Arial" w:cs="Arial"/>
        </w:rPr>
        <w:t>.</w:t>
      </w:r>
    </w:p>
    <w:p w:rsidR="002A3A84" w:rsidRDefault="002A3A84" w:rsidP="002A3A84">
      <w:pPr>
        <w:rPr>
          <w:rFonts w:ascii="Arial" w:hAnsi="Arial" w:cs="Arial"/>
          <w:lang w:val="es-ES_tradnl"/>
        </w:rPr>
      </w:pPr>
    </w:p>
    <w:p w:rsidR="002A3A84" w:rsidRPr="00EB3C39" w:rsidRDefault="002A3A84" w:rsidP="002A3A84">
      <w:pPr>
        <w:jc w:val="both"/>
        <w:rPr>
          <w:rFonts w:ascii="Arial" w:hAnsi="Arial" w:cs="Arial"/>
          <w:b/>
          <w:lang w:val="es-ES_tradnl"/>
        </w:rPr>
      </w:pPr>
      <w:r w:rsidRPr="00EB3C39">
        <w:rPr>
          <w:rFonts w:ascii="Arial" w:hAnsi="Arial" w:cs="Arial"/>
          <w:b/>
          <w:lang w:val="es-ES_tradnl"/>
        </w:rPr>
        <w:t>Gastos financiables:</w:t>
      </w:r>
    </w:p>
    <w:p w:rsidR="002A3A84" w:rsidRDefault="002A3A84" w:rsidP="002A3A84">
      <w:pPr>
        <w:jc w:val="both"/>
        <w:rPr>
          <w:rFonts w:ascii="Arial" w:hAnsi="Arial" w:cs="Arial"/>
          <w:lang w:val="es-ES_tradnl"/>
        </w:rPr>
      </w:pPr>
      <w:r>
        <w:rPr>
          <w:rFonts w:ascii="Arial" w:hAnsi="Arial" w:cs="Arial"/>
          <w:lang w:val="es-ES_tradnl"/>
        </w:rPr>
        <w:t>Base 2.1. g). Se incluyen en otros gastos:</w:t>
      </w:r>
    </w:p>
    <w:p w:rsidR="002A3A84" w:rsidRPr="00650EF4" w:rsidRDefault="002A3A84" w:rsidP="002A3A84">
      <w:pPr>
        <w:pStyle w:val="Prrafodelista"/>
        <w:numPr>
          <w:ilvl w:val="0"/>
          <w:numId w:val="17"/>
        </w:numPr>
        <w:jc w:val="both"/>
        <w:rPr>
          <w:rFonts w:ascii="Arial" w:hAnsi="Arial" w:cs="Arial"/>
          <w:lang w:val="es-ES_tradnl"/>
        </w:rPr>
      </w:pPr>
      <w:r w:rsidRPr="00650EF4">
        <w:rPr>
          <w:rFonts w:ascii="Arial" w:hAnsi="Arial" w:cs="Arial"/>
          <w:lang w:val="es-ES_tradnl"/>
        </w:rPr>
        <w:t>Gastos de consultoría: Hasta 1500 euros, coordinadores e individuales que no se hayan presentado antes a la convocatoria (desde 2016).</w:t>
      </w:r>
    </w:p>
    <w:p w:rsidR="002A3A84" w:rsidRPr="009B0F3B" w:rsidRDefault="002A3A84" w:rsidP="002A3A84">
      <w:pPr>
        <w:pStyle w:val="Prrafodelista"/>
        <w:numPr>
          <w:ilvl w:val="0"/>
          <w:numId w:val="17"/>
        </w:numPr>
        <w:jc w:val="both"/>
        <w:rPr>
          <w:rFonts w:ascii="Arial" w:hAnsi="Arial" w:cs="Arial"/>
          <w:lang w:val="es-ES_tradnl"/>
        </w:rPr>
      </w:pPr>
      <w:r w:rsidRPr="009B0F3B">
        <w:rPr>
          <w:rFonts w:ascii="Arial" w:hAnsi="Arial" w:cs="Arial"/>
          <w:lang w:val="es-ES_tradnl"/>
        </w:rPr>
        <w:t xml:space="preserve">Hasta el 4% del gasto de gestión administrativa y financiera del proyecto. Base 2.1.a) la parte realizada con personal propio y </w:t>
      </w:r>
      <w:r>
        <w:rPr>
          <w:rFonts w:ascii="Arial" w:hAnsi="Arial" w:cs="Arial"/>
          <w:lang w:val="es-ES_tradnl"/>
        </w:rPr>
        <w:t xml:space="preserve">Base 2.1.g). la parte realizada mediante la </w:t>
      </w:r>
      <w:r w:rsidRPr="009B0F3B">
        <w:rPr>
          <w:rFonts w:ascii="Arial" w:hAnsi="Arial" w:cs="Arial"/>
          <w:lang w:val="es-ES_tradnl"/>
        </w:rPr>
        <w:t>contratación a terceros</w:t>
      </w:r>
      <w:r>
        <w:rPr>
          <w:rFonts w:ascii="Arial" w:hAnsi="Arial" w:cs="Arial"/>
          <w:lang w:val="es-ES_tradnl"/>
        </w:rPr>
        <w:t>.</w:t>
      </w:r>
    </w:p>
    <w:p w:rsidR="002A3A84" w:rsidRPr="0061590B" w:rsidRDefault="002A3A84" w:rsidP="002A3A84">
      <w:pPr>
        <w:pStyle w:val="Prrafodelista"/>
        <w:numPr>
          <w:ilvl w:val="0"/>
          <w:numId w:val="17"/>
        </w:numPr>
        <w:jc w:val="both"/>
        <w:rPr>
          <w:rFonts w:ascii="Arial" w:hAnsi="Arial" w:cs="Arial"/>
          <w:lang w:val="es-ES_tradnl"/>
        </w:rPr>
      </w:pPr>
      <w:r w:rsidRPr="0061590B">
        <w:rPr>
          <w:rFonts w:ascii="Arial" w:hAnsi="Arial" w:cs="Arial"/>
          <w:lang w:val="es-ES_tradnl"/>
        </w:rPr>
        <w:t>Gastos de difusión: Hasta 4.000 euros.</w:t>
      </w:r>
    </w:p>
    <w:p w:rsidR="002A3A84" w:rsidRDefault="002A3A84" w:rsidP="002A3A84">
      <w:pPr>
        <w:pStyle w:val="Prrafodelista"/>
        <w:numPr>
          <w:ilvl w:val="0"/>
          <w:numId w:val="17"/>
        </w:numPr>
        <w:jc w:val="both"/>
        <w:rPr>
          <w:rFonts w:ascii="Arial" w:hAnsi="Arial" w:cs="Arial"/>
          <w:lang w:val="es-ES_tradnl"/>
        </w:rPr>
      </w:pPr>
      <w:r w:rsidRPr="0061590B">
        <w:rPr>
          <w:rFonts w:ascii="Arial" w:hAnsi="Arial" w:cs="Arial"/>
          <w:lang w:val="es-ES_tradnl"/>
        </w:rPr>
        <w:t>Gastos del informe de auditoría exigido para todas las beneficiarias de la base 14.2.</w:t>
      </w:r>
    </w:p>
    <w:p w:rsidR="002A3A84" w:rsidRDefault="002A3A84" w:rsidP="002A3A84">
      <w:pPr>
        <w:rPr>
          <w:rFonts w:ascii="Arial" w:hAnsi="Arial" w:cs="Arial"/>
          <w:lang w:val="es-ES_tradnl"/>
        </w:rPr>
      </w:pPr>
    </w:p>
    <w:p w:rsidR="002A3A84" w:rsidRPr="00EB3C39" w:rsidRDefault="002A3A84" w:rsidP="002A3A84">
      <w:pPr>
        <w:jc w:val="both"/>
        <w:rPr>
          <w:rFonts w:ascii="Arial" w:hAnsi="Arial" w:cs="Arial"/>
          <w:b/>
          <w:lang w:val="es-ES_tradnl"/>
        </w:rPr>
      </w:pPr>
      <w:r>
        <w:rPr>
          <w:rFonts w:ascii="Arial" w:hAnsi="Arial" w:cs="Arial"/>
          <w:b/>
          <w:lang w:val="es-ES_tradnl"/>
        </w:rPr>
        <w:t xml:space="preserve">Base 7. </w:t>
      </w:r>
      <w:r w:rsidRPr="00EB3C39">
        <w:rPr>
          <w:rFonts w:ascii="Arial" w:hAnsi="Arial" w:cs="Arial"/>
          <w:b/>
          <w:lang w:val="es-ES_tradnl"/>
        </w:rPr>
        <w:t>Criterios y prelación e Intensidad de ayuda:</w:t>
      </w:r>
    </w:p>
    <w:p w:rsidR="002A3A84" w:rsidRDefault="002A3A84" w:rsidP="002A3A84">
      <w:pPr>
        <w:jc w:val="both"/>
        <w:rPr>
          <w:rFonts w:ascii="Arial" w:hAnsi="Arial" w:cs="Arial"/>
          <w:lang w:val="es-ES_tradnl"/>
        </w:rPr>
      </w:pPr>
      <w:r>
        <w:rPr>
          <w:rFonts w:ascii="Arial" w:hAnsi="Arial" w:cs="Arial"/>
        </w:rPr>
        <w:t xml:space="preserve">Base 7.1.a) </w:t>
      </w:r>
      <w:r>
        <w:rPr>
          <w:rFonts w:ascii="Arial" w:hAnsi="Arial" w:cs="Arial"/>
          <w:lang w:val="es-ES_tradnl"/>
        </w:rPr>
        <w:t>Intensidad de ayuda: No se multiplica por la nota, directamente el % de la tabla.</w:t>
      </w:r>
    </w:p>
    <w:p w:rsidR="002A3A84" w:rsidRDefault="002A3A84" w:rsidP="002A3A84">
      <w:pPr>
        <w:jc w:val="both"/>
        <w:rPr>
          <w:rFonts w:ascii="Arial" w:hAnsi="Arial" w:cs="Arial"/>
          <w:lang w:val="es-ES_tradnl"/>
        </w:rPr>
      </w:pPr>
      <w:r>
        <w:rPr>
          <w:rFonts w:ascii="Arial" w:hAnsi="Arial" w:cs="Arial"/>
        </w:rPr>
        <w:t>Base 10.1. Criterios de valoración.</w:t>
      </w:r>
    </w:p>
    <w:p w:rsidR="002A3A84" w:rsidRDefault="002A3A84" w:rsidP="002A3A84">
      <w:pPr>
        <w:pStyle w:val="Prrafodelista"/>
        <w:numPr>
          <w:ilvl w:val="0"/>
          <w:numId w:val="17"/>
        </w:numPr>
        <w:jc w:val="both"/>
        <w:rPr>
          <w:rFonts w:ascii="Arial" w:hAnsi="Arial" w:cs="Arial"/>
          <w:lang w:val="es-ES_tradnl"/>
        </w:rPr>
      </w:pPr>
      <w:r w:rsidRPr="00650EF4">
        <w:rPr>
          <w:rFonts w:ascii="Arial" w:hAnsi="Arial" w:cs="Arial"/>
          <w:lang w:val="es-ES_tradnl"/>
        </w:rPr>
        <w:lastRenderedPageBreak/>
        <w:t>No se valoran las publicaciones científicas.</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Otros cambios, según tabla.</w:t>
      </w:r>
    </w:p>
    <w:p w:rsidR="008E1F9E" w:rsidRPr="00A54E03" w:rsidRDefault="008E1F9E" w:rsidP="008E1F9E">
      <w:pPr>
        <w:pStyle w:val="Prrafodelista"/>
        <w:jc w:val="both"/>
        <w:rPr>
          <w:rFonts w:ascii="Arial" w:hAnsi="Arial" w:cs="Arial"/>
          <w:lang w:val="es-ES_tradnl"/>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2"/>
        <w:gridCol w:w="1358"/>
        <w:gridCol w:w="1417"/>
      </w:tblGrid>
      <w:tr w:rsidR="002A3A84" w:rsidRPr="0046774C" w:rsidTr="00D16F01">
        <w:trPr>
          <w:trHeight w:val="308"/>
        </w:trPr>
        <w:tc>
          <w:tcPr>
            <w:tcW w:w="5872" w:type="dxa"/>
            <w:shd w:val="clear" w:color="auto" w:fill="auto"/>
            <w:vAlign w:val="center"/>
          </w:tcPr>
          <w:p w:rsidR="002A3A84" w:rsidRPr="00A3364C" w:rsidRDefault="002A3A84" w:rsidP="00D16F01">
            <w:pPr>
              <w:pStyle w:val="Prrafodelista"/>
              <w:ind w:left="0"/>
              <w:rPr>
                <w:rFonts w:ascii="Arial" w:hAnsi="Arial" w:cs="Arial"/>
              </w:rPr>
            </w:pPr>
            <w:r w:rsidRPr="00A3364C">
              <w:rPr>
                <w:rFonts w:ascii="Arial" w:hAnsi="Arial" w:cs="Arial"/>
              </w:rPr>
              <w:t>CRITERIOS DE VALORACIÓN</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Puntuación máxima</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Puntuación mínima</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Alcance tecnológico del proyecto</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30</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15</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Grado de novedad del proyecto</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20</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10</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Adecuación del presupuesto a las actividades del proyecto</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10</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5</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Calidad de la memoria presentada</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10</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5</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Alineación con las prioridades temáticas de la S4</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10</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Fomento de la economía circular</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4</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Participación de una empresa que se beneficia por primera vez de estas ayudas</w:t>
            </w:r>
            <w:r>
              <w:rPr>
                <w:rFonts w:ascii="Arial" w:hAnsi="Arial" w:cs="Arial"/>
              </w:rPr>
              <w:t xml:space="preserve"> (desde 2016)</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3</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w:t>
            </w:r>
          </w:p>
        </w:tc>
      </w:tr>
      <w:tr w:rsidR="002A3A84" w:rsidRPr="0046774C" w:rsidTr="00D16F01">
        <w:trPr>
          <w:trHeight w:val="308"/>
        </w:trPr>
        <w:tc>
          <w:tcPr>
            <w:tcW w:w="5872" w:type="dxa"/>
            <w:shd w:val="clear" w:color="auto" w:fill="auto"/>
            <w:vAlign w:val="center"/>
          </w:tcPr>
          <w:p w:rsidR="002A3A84" w:rsidRPr="00873A14"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Colaboración externa de</w:t>
            </w:r>
            <w:r>
              <w:rPr>
                <w:rFonts w:ascii="Arial" w:hAnsi="Arial" w:cs="Arial"/>
              </w:rPr>
              <w:t xml:space="preserve"> </w:t>
            </w:r>
            <w:r w:rsidRPr="00873A14">
              <w:rPr>
                <w:rFonts w:ascii="Arial" w:hAnsi="Arial" w:cs="Arial"/>
              </w:rPr>
              <w:t>agentes del SINAI en proyectos individuales o de colaboración entre empresas</w:t>
            </w:r>
            <w:r>
              <w:rPr>
                <w:rFonts w:ascii="Arial" w:hAnsi="Arial" w:cs="Arial"/>
              </w:rPr>
              <w:t xml:space="preserve"> (≥ 7%)</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2</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Grado de participación empresarial en proyectos de transferencia del conocimiento</w:t>
            </w:r>
            <w:r>
              <w:rPr>
                <w:rFonts w:ascii="Arial" w:hAnsi="Arial" w:cs="Arial"/>
              </w:rPr>
              <w:t xml:space="preserve"> (≥ 70% y ≤ 80%)</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2</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w:t>
            </w: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Personal doctorado en el equipo investigador</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3</w:t>
            </w:r>
          </w:p>
        </w:tc>
        <w:tc>
          <w:tcPr>
            <w:tcW w:w="1417" w:type="dxa"/>
            <w:shd w:val="clear" w:color="auto" w:fill="auto"/>
            <w:vAlign w:val="center"/>
          </w:tcPr>
          <w:p w:rsidR="002A3A84" w:rsidRPr="00A3364C" w:rsidRDefault="002A3A84" w:rsidP="00D16F01">
            <w:pPr>
              <w:jc w:val="center"/>
              <w:rPr>
                <w:rFonts w:ascii="Arial" w:hAnsi="Arial" w:cs="Arial"/>
              </w:rPr>
            </w:pP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Igualdad de género en la I+D</w:t>
            </w:r>
            <w:r>
              <w:rPr>
                <w:rFonts w:ascii="Arial" w:hAnsi="Arial" w:cs="Arial"/>
              </w:rPr>
              <w:t xml:space="preserve"> (≥ 50% h. de mujeres)</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3</w:t>
            </w:r>
          </w:p>
        </w:tc>
        <w:tc>
          <w:tcPr>
            <w:tcW w:w="1417" w:type="dxa"/>
            <w:shd w:val="clear" w:color="auto" w:fill="auto"/>
            <w:vAlign w:val="center"/>
          </w:tcPr>
          <w:p w:rsidR="002A3A84" w:rsidRPr="00A3364C" w:rsidRDefault="002A3A84" w:rsidP="00D16F01">
            <w:pPr>
              <w:jc w:val="center"/>
              <w:rPr>
                <w:rFonts w:ascii="Arial" w:hAnsi="Arial" w:cs="Arial"/>
              </w:rPr>
            </w:pP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numPr>
                <w:ilvl w:val="0"/>
                <w:numId w:val="14"/>
              </w:numPr>
              <w:spacing w:after="0" w:line="240" w:lineRule="auto"/>
              <w:ind w:left="502"/>
              <w:jc w:val="both"/>
              <w:rPr>
                <w:rFonts w:ascii="Arial" w:hAnsi="Arial" w:cs="Arial"/>
              </w:rPr>
            </w:pPr>
            <w:r w:rsidRPr="00A3364C">
              <w:rPr>
                <w:rFonts w:ascii="Arial" w:hAnsi="Arial" w:cs="Arial"/>
              </w:rPr>
              <w:t>Solicitud de patentes</w:t>
            </w:r>
            <w:r>
              <w:rPr>
                <w:rFonts w:ascii="Arial" w:hAnsi="Arial" w:cs="Arial"/>
              </w:rPr>
              <w:t xml:space="preserve"> (3 europea, 2 nacional o terceros países, 1 Modelo de utilidad o certificado)</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3</w:t>
            </w:r>
          </w:p>
        </w:tc>
        <w:tc>
          <w:tcPr>
            <w:tcW w:w="1417" w:type="dxa"/>
            <w:shd w:val="clear" w:color="auto" w:fill="auto"/>
            <w:vAlign w:val="center"/>
          </w:tcPr>
          <w:p w:rsidR="002A3A84" w:rsidRPr="00A3364C" w:rsidRDefault="002A3A84" w:rsidP="00D16F01">
            <w:pPr>
              <w:jc w:val="center"/>
              <w:rPr>
                <w:rFonts w:ascii="Arial" w:hAnsi="Arial" w:cs="Arial"/>
              </w:rPr>
            </w:pPr>
          </w:p>
        </w:tc>
      </w:tr>
      <w:tr w:rsidR="002A3A84" w:rsidRPr="0046774C" w:rsidTr="00D16F01">
        <w:trPr>
          <w:trHeight w:val="308"/>
        </w:trPr>
        <w:tc>
          <w:tcPr>
            <w:tcW w:w="5872" w:type="dxa"/>
            <w:shd w:val="clear" w:color="auto" w:fill="auto"/>
            <w:vAlign w:val="center"/>
          </w:tcPr>
          <w:p w:rsidR="002A3A84" w:rsidRPr="00A3364C" w:rsidRDefault="002A3A84" w:rsidP="00D16F01">
            <w:pPr>
              <w:pStyle w:val="Prrafodelista"/>
              <w:jc w:val="right"/>
              <w:rPr>
                <w:rFonts w:ascii="Arial" w:hAnsi="Arial" w:cs="Arial"/>
              </w:rPr>
            </w:pPr>
            <w:r w:rsidRPr="00A3364C">
              <w:rPr>
                <w:rFonts w:ascii="Arial" w:hAnsi="Arial" w:cs="Arial"/>
              </w:rPr>
              <w:t>TOTAL</w:t>
            </w:r>
          </w:p>
        </w:tc>
        <w:tc>
          <w:tcPr>
            <w:tcW w:w="1358"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100</w:t>
            </w:r>
          </w:p>
        </w:tc>
        <w:tc>
          <w:tcPr>
            <w:tcW w:w="1417" w:type="dxa"/>
            <w:shd w:val="clear" w:color="auto" w:fill="auto"/>
            <w:vAlign w:val="center"/>
          </w:tcPr>
          <w:p w:rsidR="002A3A84" w:rsidRPr="00A3364C" w:rsidRDefault="002A3A84" w:rsidP="00D16F01">
            <w:pPr>
              <w:jc w:val="center"/>
              <w:rPr>
                <w:rFonts w:ascii="Arial" w:hAnsi="Arial" w:cs="Arial"/>
              </w:rPr>
            </w:pPr>
            <w:r w:rsidRPr="00A3364C">
              <w:rPr>
                <w:rFonts w:ascii="Arial" w:hAnsi="Arial" w:cs="Arial"/>
              </w:rPr>
              <w:t>45</w:t>
            </w:r>
          </w:p>
        </w:tc>
      </w:tr>
    </w:tbl>
    <w:p w:rsidR="002A3A84" w:rsidRDefault="002A3A84" w:rsidP="002A3A84">
      <w:pPr>
        <w:ind w:left="360"/>
        <w:rPr>
          <w:rFonts w:cs="Arial"/>
        </w:rPr>
      </w:pPr>
    </w:p>
    <w:p w:rsidR="002A3A84" w:rsidRDefault="002A3A84" w:rsidP="002A3A84">
      <w:pPr>
        <w:rPr>
          <w:rFonts w:ascii="Arial" w:hAnsi="Arial" w:cs="Arial"/>
          <w:b/>
          <w:lang w:val="es-ES_tradnl"/>
        </w:rPr>
      </w:pPr>
    </w:p>
    <w:p w:rsidR="002A3A84" w:rsidRPr="00EB3C39" w:rsidRDefault="002A3A84" w:rsidP="002A3A84">
      <w:pPr>
        <w:jc w:val="both"/>
        <w:rPr>
          <w:rFonts w:ascii="Arial" w:hAnsi="Arial" w:cs="Arial"/>
          <w:b/>
          <w:lang w:val="es-ES_tradnl"/>
        </w:rPr>
      </w:pPr>
      <w:r>
        <w:rPr>
          <w:rFonts w:ascii="Arial" w:hAnsi="Arial" w:cs="Arial"/>
          <w:b/>
          <w:lang w:val="es-ES_tradnl"/>
        </w:rPr>
        <w:t xml:space="preserve">Modificaciones que precisan autorización. </w:t>
      </w:r>
      <w:r>
        <w:rPr>
          <w:rFonts w:ascii="Arial" w:hAnsi="Arial" w:cs="Arial"/>
        </w:rPr>
        <w:t>Base 13.2.</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Prórroga, hasta un máximo de 4 meses.</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Cambios entre partidas &gt; 10%.</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Socios del proyecto.</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Reasignación de tareas entre socios.</w:t>
      </w:r>
    </w:p>
    <w:p w:rsidR="002A3A84" w:rsidRDefault="002A3A84" w:rsidP="002A3A84">
      <w:pPr>
        <w:jc w:val="both"/>
        <w:rPr>
          <w:rFonts w:ascii="Arial" w:hAnsi="Arial" w:cs="Arial"/>
          <w:lang w:val="es-ES_tradnl"/>
        </w:rPr>
      </w:pPr>
    </w:p>
    <w:p w:rsidR="002A3A84" w:rsidRPr="00EB3C39" w:rsidRDefault="002A3A84" w:rsidP="002A3A84">
      <w:pPr>
        <w:jc w:val="both"/>
        <w:rPr>
          <w:rFonts w:ascii="Arial" w:hAnsi="Arial" w:cs="Arial"/>
          <w:b/>
          <w:lang w:val="es-ES_tradnl"/>
        </w:rPr>
      </w:pPr>
      <w:r>
        <w:rPr>
          <w:rFonts w:ascii="Arial" w:hAnsi="Arial" w:cs="Arial"/>
          <w:b/>
          <w:lang w:val="es-ES_tradnl"/>
        </w:rPr>
        <w:t>J</w:t>
      </w:r>
      <w:r w:rsidRPr="00EB3C39">
        <w:rPr>
          <w:rFonts w:ascii="Arial" w:hAnsi="Arial" w:cs="Arial"/>
          <w:b/>
          <w:lang w:val="es-ES_tradnl"/>
        </w:rPr>
        <w:t>ustificación</w:t>
      </w:r>
      <w:r>
        <w:rPr>
          <w:rFonts w:ascii="Arial" w:hAnsi="Arial" w:cs="Arial"/>
          <w:b/>
          <w:lang w:val="es-ES_tradnl"/>
        </w:rPr>
        <w:t xml:space="preserve"> y abonos de ayuda</w:t>
      </w:r>
    </w:p>
    <w:p w:rsidR="002A3A84" w:rsidRDefault="002A3A84" w:rsidP="002A3A84">
      <w:pPr>
        <w:jc w:val="both"/>
        <w:rPr>
          <w:rFonts w:ascii="Arial" w:hAnsi="Arial" w:cs="Arial"/>
          <w:lang w:val="es-ES_tradnl"/>
        </w:rPr>
      </w:pPr>
      <w:r>
        <w:rPr>
          <w:rFonts w:ascii="Arial" w:hAnsi="Arial" w:cs="Arial"/>
        </w:rPr>
        <w:t xml:space="preserve">Base 14.1. </w:t>
      </w:r>
      <w:r>
        <w:rPr>
          <w:rFonts w:ascii="Arial" w:hAnsi="Arial" w:cs="Arial"/>
          <w:lang w:val="es-ES_tradnl"/>
        </w:rPr>
        <w:t>Justificación de gastos anuales y de año natural: parte de 2023, 2024 y parte de 2025.</w:t>
      </w:r>
    </w:p>
    <w:p w:rsidR="002A3A84" w:rsidRDefault="002A3A84" w:rsidP="002A3A84">
      <w:pPr>
        <w:jc w:val="both"/>
        <w:rPr>
          <w:rFonts w:ascii="Arial" w:hAnsi="Arial" w:cs="Arial"/>
          <w:lang w:val="es-ES_tradnl"/>
        </w:rPr>
      </w:pPr>
      <w:r>
        <w:rPr>
          <w:rFonts w:ascii="Arial" w:hAnsi="Arial" w:cs="Arial"/>
        </w:rPr>
        <w:t xml:space="preserve">Base 14.1. </w:t>
      </w:r>
      <w:r>
        <w:rPr>
          <w:rFonts w:ascii="Arial" w:hAnsi="Arial" w:cs="Arial"/>
          <w:lang w:val="es-ES_tradnl"/>
        </w:rPr>
        <w:t>La Excel para el informe intermedio será la misma que la de justificación. Diferencia: No se presentan facturas ni documentación adicional en los informes intermedios.</w:t>
      </w:r>
    </w:p>
    <w:p w:rsidR="002A3A84" w:rsidRDefault="002A3A84" w:rsidP="002A3A84">
      <w:pPr>
        <w:jc w:val="both"/>
        <w:rPr>
          <w:rFonts w:ascii="Arial" w:hAnsi="Arial" w:cs="Arial"/>
          <w:lang w:val="es-ES_tradnl"/>
        </w:rPr>
      </w:pPr>
      <w:r>
        <w:rPr>
          <w:rFonts w:ascii="Arial" w:hAnsi="Arial" w:cs="Arial"/>
        </w:rPr>
        <w:t xml:space="preserve">Base 14.2.a). </w:t>
      </w:r>
      <w:r>
        <w:rPr>
          <w:rFonts w:ascii="Arial" w:hAnsi="Arial" w:cs="Arial"/>
          <w:lang w:val="es-ES_tradnl"/>
        </w:rPr>
        <w:t>Informe de auditoría en las justificaciones parcial (2023) y final (2024 y 2025).</w:t>
      </w:r>
    </w:p>
    <w:p w:rsidR="002A3A84" w:rsidRDefault="002A3A84" w:rsidP="002A3A84">
      <w:pPr>
        <w:jc w:val="both"/>
        <w:rPr>
          <w:rFonts w:ascii="Arial" w:hAnsi="Arial" w:cs="Arial"/>
          <w:lang w:val="es-ES_tradnl"/>
        </w:rPr>
      </w:pPr>
      <w:r>
        <w:rPr>
          <w:rFonts w:ascii="Arial" w:hAnsi="Arial" w:cs="Arial"/>
        </w:rPr>
        <w:lastRenderedPageBreak/>
        <w:t xml:space="preserve">Base 14.2.c). </w:t>
      </w:r>
      <w:r>
        <w:rPr>
          <w:rFonts w:ascii="Arial" w:hAnsi="Arial" w:cs="Arial"/>
          <w:lang w:val="es-ES_tradnl"/>
        </w:rPr>
        <w:t xml:space="preserve">La auditoría incorporará un listado de comprobación, </w:t>
      </w:r>
      <w:r w:rsidRPr="0061590B">
        <w:rPr>
          <w:rFonts w:ascii="Arial" w:hAnsi="Arial" w:cs="Arial"/>
        </w:rPr>
        <w:t>según modelo de la ficha</w:t>
      </w:r>
      <w:r>
        <w:rPr>
          <w:rFonts w:ascii="Arial" w:hAnsi="Arial" w:cs="Arial"/>
          <w:lang w:val="es-ES_tradnl"/>
        </w:rPr>
        <w:t>.</w:t>
      </w:r>
    </w:p>
    <w:p w:rsidR="002A3A84" w:rsidRDefault="002A3A84" w:rsidP="002A3A84">
      <w:pPr>
        <w:jc w:val="both"/>
        <w:rPr>
          <w:rFonts w:ascii="Arial" w:hAnsi="Arial" w:cs="Arial"/>
          <w:lang w:val="es-ES_tradnl"/>
        </w:rPr>
      </w:pPr>
      <w:r>
        <w:rPr>
          <w:rFonts w:ascii="Arial" w:hAnsi="Arial" w:cs="Arial"/>
        </w:rPr>
        <w:t xml:space="preserve">Base 17.3. </w:t>
      </w:r>
      <w:r>
        <w:rPr>
          <w:rFonts w:ascii="Arial" w:hAnsi="Arial" w:cs="Arial"/>
          <w:lang w:val="es-ES_tradnl"/>
        </w:rPr>
        <w:t>Abono de la ayuda en el ejercicio. En diciembre, si no se han realizado todas las primeras liquidaciones de las justificaciones parciales, podrá realizarse el pago a cuenta de las mismas con arreglo a las justificaciones presentadas y liquidarse al año siguiente.</w:t>
      </w:r>
    </w:p>
    <w:p w:rsidR="002A3A84" w:rsidRDefault="002A3A84" w:rsidP="002A3A84">
      <w:pPr>
        <w:rPr>
          <w:rFonts w:ascii="Arial" w:hAnsi="Arial" w:cs="Arial"/>
          <w:lang w:val="es-ES_tradnl"/>
        </w:rPr>
      </w:pPr>
    </w:p>
    <w:p w:rsidR="002A3A84" w:rsidRDefault="002A3A84" w:rsidP="002A3A84">
      <w:pPr>
        <w:jc w:val="both"/>
        <w:rPr>
          <w:rFonts w:ascii="Arial" w:hAnsi="Arial" w:cs="Arial"/>
          <w:b/>
          <w:lang w:val="es-ES_tradnl"/>
        </w:rPr>
      </w:pPr>
      <w:r>
        <w:rPr>
          <w:rFonts w:ascii="Arial" w:hAnsi="Arial" w:cs="Arial"/>
          <w:b/>
          <w:lang w:val="es-ES_tradnl"/>
        </w:rPr>
        <w:t>Incumplimiento de obligaciones</w:t>
      </w:r>
    </w:p>
    <w:p w:rsidR="002A3A84" w:rsidRDefault="002A3A84" w:rsidP="002A3A84">
      <w:pPr>
        <w:jc w:val="both"/>
        <w:rPr>
          <w:rFonts w:ascii="Arial" w:hAnsi="Arial" w:cs="Arial"/>
          <w:lang w:val="es-ES_tradnl"/>
        </w:rPr>
      </w:pPr>
      <w:r>
        <w:rPr>
          <w:rFonts w:ascii="Arial" w:hAnsi="Arial" w:cs="Arial"/>
        </w:rPr>
        <w:t xml:space="preserve">Base 16.2.1. </w:t>
      </w:r>
      <w:r>
        <w:rPr>
          <w:rFonts w:ascii="Arial" w:hAnsi="Arial" w:cs="Arial"/>
          <w:lang w:val="es-ES_tradnl"/>
        </w:rPr>
        <w:t>Inejecución:</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 xml:space="preserve"> &gt;60%</w:t>
      </w:r>
      <w:r w:rsidRPr="003A79BA">
        <w:rPr>
          <w:rFonts w:ascii="Arial" w:hAnsi="Arial" w:cs="Arial"/>
          <w:lang w:val="es-ES_tradnl"/>
        </w:rPr>
        <w:t>.</w:t>
      </w:r>
      <w:r>
        <w:rPr>
          <w:rFonts w:ascii="Arial" w:hAnsi="Arial" w:cs="Arial"/>
          <w:lang w:val="es-ES_tradnl"/>
        </w:rPr>
        <w:t xml:space="preserve"> Sin subvención.</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Inejecución &gt; 42% y ≤ 60 %. Según tabla entre el 10 y el 90% de reducción de ayuda.</w:t>
      </w:r>
    </w:p>
    <w:p w:rsidR="002A3A84" w:rsidRDefault="002A3A84" w:rsidP="002A3A84">
      <w:pPr>
        <w:jc w:val="both"/>
        <w:rPr>
          <w:rFonts w:ascii="Arial" w:hAnsi="Arial" w:cs="Arial"/>
        </w:rPr>
      </w:pPr>
    </w:p>
    <w:p w:rsidR="002A3A84" w:rsidRDefault="002A3A84" w:rsidP="002A3A84">
      <w:pPr>
        <w:jc w:val="both"/>
        <w:rPr>
          <w:rFonts w:ascii="Arial" w:hAnsi="Arial" w:cs="Arial"/>
          <w:lang w:val="es-ES_tradnl"/>
        </w:rPr>
      </w:pPr>
      <w:r>
        <w:rPr>
          <w:rFonts w:ascii="Arial" w:hAnsi="Arial" w:cs="Arial"/>
        </w:rPr>
        <w:t xml:space="preserve">Base 16.2.2. </w:t>
      </w:r>
      <w:r>
        <w:rPr>
          <w:rFonts w:ascii="Arial" w:hAnsi="Arial" w:cs="Arial"/>
          <w:lang w:val="es-ES_tradnl"/>
        </w:rPr>
        <w:t>En colaboración &gt; 70% de gastos una empresa. Ayuda como individual.</w:t>
      </w:r>
    </w:p>
    <w:p w:rsidR="002A3A84" w:rsidRDefault="002A3A84" w:rsidP="002A3A84">
      <w:pPr>
        <w:jc w:val="both"/>
        <w:rPr>
          <w:rFonts w:ascii="Arial" w:hAnsi="Arial" w:cs="Arial"/>
        </w:rPr>
      </w:pPr>
    </w:p>
    <w:p w:rsidR="002A3A84" w:rsidRDefault="002A3A84" w:rsidP="002A3A84">
      <w:pPr>
        <w:jc w:val="both"/>
        <w:rPr>
          <w:rFonts w:ascii="Arial" w:hAnsi="Arial" w:cs="Arial"/>
          <w:lang w:val="es-ES_tradnl"/>
        </w:rPr>
      </w:pPr>
      <w:r>
        <w:rPr>
          <w:rFonts w:ascii="Arial" w:hAnsi="Arial" w:cs="Arial"/>
        </w:rPr>
        <w:t xml:space="preserve">Base 16.2.3. </w:t>
      </w:r>
      <w:r>
        <w:rPr>
          <w:rFonts w:ascii="Arial" w:hAnsi="Arial" w:cs="Arial"/>
          <w:lang w:val="es-ES_tradnl"/>
        </w:rPr>
        <w:t>En transferencia incumplimiento del 10% al 40% de agentes del SINAI:</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Ayuda a empresas como proyectos individuales.</w:t>
      </w:r>
    </w:p>
    <w:p w:rsidR="002A3A84" w:rsidRDefault="002A3A84" w:rsidP="002A3A84">
      <w:pPr>
        <w:pStyle w:val="Prrafodelista"/>
        <w:numPr>
          <w:ilvl w:val="0"/>
          <w:numId w:val="17"/>
        </w:numPr>
        <w:jc w:val="both"/>
        <w:rPr>
          <w:rFonts w:ascii="Arial" w:hAnsi="Arial" w:cs="Arial"/>
          <w:lang w:val="es-ES_tradnl"/>
        </w:rPr>
      </w:pPr>
      <w:r>
        <w:rPr>
          <w:rFonts w:ascii="Arial" w:hAnsi="Arial" w:cs="Arial"/>
          <w:lang w:val="es-ES_tradnl"/>
        </w:rPr>
        <w:t>Ayuda a agentes del SINAI 70%.</w:t>
      </w:r>
    </w:p>
    <w:p w:rsidR="002A3A84" w:rsidRDefault="002A3A84" w:rsidP="002A3A84">
      <w:pPr>
        <w:jc w:val="both"/>
        <w:rPr>
          <w:rFonts w:ascii="Arial" w:hAnsi="Arial" w:cs="Arial"/>
        </w:rPr>
      </w:pPr>
    </w:p>
    <w:p w:rsidR="002A3A84" w:rsidRDefault="002A3A84" w:rsidP="002A3A84">
      <w:pPr>
        <w:jc w:val="both"/>
        <w:rPr>
          <w:rFonts w:ascii="Arial" w:hAnsi="Arial" w:cs="Arial"/>
          <w:lang w:val="es-ES_tradnl"/>
        </w:rPr>
      </w:pPr>
      <w:r>
        <w:rPr>
          <w:rFonts w:ascii="Arial" w:hAnsi="Arial" w:cs="Arial"/>
        </w:rPr>
        <w:t xml:space="preserve">Base 16.2.4. </w:t>
      </w:r>
      <w:r>
        <w:rPr>
          <w:rFonts w:ascii="Arial" w:hAnsi="Arial" w:cs="Arial"/>
          <w:lang w:val="es-ES_tradnl"/>
        </w:rPr>
        <w:t>En liquidación final, incumplimiento de criterios</w:t>
      </w:r>
      <w:r w:rsidRPr="00D53299">
        <w:t xml:space="preserve"> </w:t>
      </w:r>
      <w:r w:rsidRPr="00D53299">
        <w:rPr>
          <w:rFonts w:ascii="Arial" w:hAnsi="Arial" w:cs="Arial"/>
          <w:lang w:val="es-ES_tradnl"/>
        </w:rPr>
        <w:t>de las letras h), i), j), k) y l) de la base 10.1</w:t>
      </w:r>
      <w:r>
        <w:rPr>
          <w:rFonts w:ascii="Arial" w:hAnsi="Arial" w:cs="Arial"/>
          <w:lang w:val="es-ES_tradnl"/>
        </w:rPr>
        <w:t xml:space="preserve">, respecto de la puntuación de concesión, </w:t>
      </w:r>
      <w:r w:rsidRPr="00D53299">
        <w:rPr>
          <w:rFonts w:ascii="Arial" w:hAnsi="Arial" w:cs="Arial"/>
          <w:lang w:val="es-ES_tradnl"/>
        </w:rPr>
        <w:t>se reducirá la ayuda en un 2% por cada uno de esos puntos</w:t>
      </w:r>
      <w:r>
        <w:rPr>
          <w:rFonts w:ascii="Arial" w:hAnsi="Arial" w:cs="Arial"/>
          <w:lang w:val="es-ES_tradnl"/>
        </w:rPr>
        <w:t>.</w:t>
      </w:r>
    </w:p>
    <w:p w:rsidR="002A3A84" w:rsidRDefault="002A3A84" w:rsidP="002A3A84">
      <w:pPr>
        <w:rPr>
          <w:rFonts w:ascii="Arial" w:hAnsi="Arial" w:cs="Arial"/>
          <w:lang w:val="es-ES_tradnl"/>
        </w:rPr>
      </w:pPr>
    </w:p>
    <w:p w:rsidR="002A3A84" w:rsidRDefault="002A3A84" w:rsidP="002A3A84">
      <w:pPr>
        <w:pStyle w:val="B4a"/>
        <w:numPr>
          <w:ilvl w:val="0"/>
          <w:numId w:val="0"/>
        </w:numPr>
        <w:spacing w:after="240" w:afterAutospacing="0" w:line="240" w:lineRule="auto"/>
        <w:ind w:left="426"/>
      </w:pPr>
      <w:r>
        <w:t xml:space="preserve">h) </w:t>
      </w:r>
      <w:r w:rsidRPr="00B62D1F">
        <w:t xml:space="preserve">Colaboración externa de agentes del SINAI en proyectos individuales o </w:t>
      </w:r>
      <w:r>
        <w:t>de colaboración entre empresas &lt;</w:t>
      </w:r>
      <w:r w:rsidRPr="00B62D1F">
        <w:t>7%.</w:t>
      </w:r>
    </w:p>
    <w:p w:rsidR="002A3A84" w:rsidRPr="00B62D1F" w:rsidRDefault="002A3A84" w:rsidP="002A3A84">
      <w:pPr>
        <w:pStyle w:val="B4a"/>
        <w:numPr>
          <w:ilvl w:val="0"/>
          <w:numId w:val="0"/>
        </w:numPr>
        <w:spacing w:after="240" w:afterAutospacing="0" w:line="240" w:lineRule="auto"/>
        <w:ind w:left="1146"/>
      </w:pPr>
      <w:r>
        <w:t>2 puntos -&gt; 4% de reducción de ayuda.</w:t>
      </w:r>
    </w:p>
    <w:p w:rsidR="002A3A84" w:rsidRDefault="002A3A84" w:rsidP="002A3A84">
      <w:pPr>
        <w:pStyle w:val="B4a"/>
        <w:numPr>
          <w:ilvl w:val="0"/>
          <w:numId w:val="0"/>
        </w:numPr>
        <w:spacing w:after="240" w:afterAutospacing="0" w:line="240" w:lineRule="auto"/>
        <w:ind w:left="426"/>
      </w:pPr>
      <w:r>
        <w:t xml:space="preserve">i) Presupuesto de las empresas establecido </w:t>
      </w:r>
      <w:r w:rsidRPr="002A7937">
        <w:t xml:space="preserve">en la </w:t>
      </w:r>
      <w:r>
        <w:t xml:space="preserve">resolución de </w:t>
      </w:r>
      <w:r w:rsidRPr="002A7937">
        <w:t>concesión</w:t>
      </w:r>
      <w:r>
        <w:t xml:space="preserve"> sobre el total del proyecto de transferencia no se sitúa entre el 70% y el 80%.</w:t>
      </w:r>
    </w:p>
    <w:p w:rsidR="002A3A84" w:rsidRDefault="002A3A84" w:rsidP="002A3A84">
      <w:pPr>
        <w:pStyle w:val="B4a"/>
        <w:numPr>
          <w:ilvl w:val="0"/>
          <w:numId w:val="0"/>
        </w:numPr>
        <w:spacing w:after="240" w:afterAutospacing="0" w:line="240" w:lineRule="auto"/>
        <w:ind w:left="1146"/>
      </w:pPr>
      <w:r>
        <w:t>2 puntos -&gt; 4% de reducción de ayuda.</w:t>
      </w:r>
    </w:p>
    <w:p w:rsidR="002A3A84" w:rsidRPr="00677EC3" w:rsidRDefault="002A3A84" w:rsidP="002A3A84">
      <w:pPr>
        <w:pStyle w:val="B4a"/>
        <w:numPr>
          <w:ilvl w:val="0"/>
          <w:numId w:val="0"/>
        </w:numPr>
        <w:spacing w:after="240" w:afterAutospacing="0" w:line="240" w:lineRule="auto"/>
        <w:ind w:left="426"/>
      </w:pPr>
      <w:r>
        <w:t xml:space="preserve">j) Disminución de % </w:t>
      </w:r>
      <w:r w:rsidRPr="00B62D1F">
        <w:t>doctorado</w:t>
      </w:r>
      <w:r>
        <w:t>s</w:t>
      </w:r>
      <w:r w:rsidRPr="00B62D1F">
        <w:t xml:space="preserve"> en el equipo investigador.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901"/>
      </w:tblGrid>
      <w:tr w:rsidR="002A3A84" w:rsidRPr="0046774C" w:rsidTr="00D16F01">
        <w:tc>
          <w:tcPr>
            <w:tcW w:w="5523" w:type="dxa"/>
            <w:shd w:val="clear" w:color="auto" w:fill="auto"/>
          </w:tcPr>
          <w:p w:rsidR="002A3A84" w:rsidRPr="00C84B97" w:rsidRDefault="002A3A84" w:rsidP="00D16F01">
            <w:pPr>
              <w:tabs>
                <w:tab w:val="center" w:pos="2552"/>
                <w:tab w:val="center" w:pos="6804"/>
              </w:tabs>
              <w:rPr>
                <w:rFonts w:ascii="Arial" w:hAnsi="Arial" w:cs="Arial"/>
              </w:rPr>
            </w:pPr>
            <w:r w:rsidRPr="00C84B97">
              <w:rPr>
                <w:rFonts w:ascii="Arial" w:hAnsi="Arial" w:cs="Arial"/>
              </w:rPr>
              <w:t>Horas de personal doctorado / horas de personal</w:t>
            </w:r>
          </w:p>
        </w:tc>
        <w:tc>
          <w:tcPr>
            <w:tcW w:w="901"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 xml:space="preserve">Puntos </w:t>
            </w:r>
          </w:p>
        </w:tc>
      </w:tr>
      <w:tr w:rsidR="002A3A84" w:rsidRPr="0046774C" w:rsidTr="00D16F01">
        <w:tc>
          <w:tcPr>
            <w:tcW w:w="5523"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 3 % y &lt; 25 %</w:t>
            </w:r>
          </w:p>
        </w:tc>
        <w:tc>
          <w:tcPr>
            <w:tcW w:w="901"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1</w:t>
            </w:r>
          </w:p>
        </w:tc>
      </w:tr>
      <w:tr w:rsidR="002A3A84" w:rsidRPr="0046774C" w:rsidTr="00D16F01">
        <w:tc>
          <w:tcPr>
            <w:tcW w:w="5523"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 25 % y &lt; 50 %</w:t>
            </w:r>
          </w:p>
        </w:tc>
        <w:tc>
          <w:tcPr>
            <w:tcW w:w="901"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2</w:t>
            </w:r>
          </w:p>
        </w:tc>
      </w:tr>
      <w:tr w:rsidR="002A3A84" w:rsidRPr="0046774C" w:rsidTr="00D16F01">
        <w:tc>
          <w:tcPr>
            <w:tcW w:w="5523"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 50 %</w:t>
            </w:r>
          </w:p>
        </w:tc>
        <w:tc>
          <w:tcPr>
            <w:tcW w:w="901"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3</w:t>
            </w:r>
          </w:p>
        </w:tc>
      </w:tr>
    </w:tbl>
    <w:p w:rsidR="002A3A84" w:rsidRDefault="002A3A84" w:rsidP="002A3A84">
      <w:pPr>
        <w:pStyle w:val="B4a"/>
        <w:numPr>
          <w:ilvl w:val="0"/>
          <w:numId w:val="0"/>
        </w:numPr>
        <w:spacing w:after="240" w:afterAutospacing="0" w:line="240" w:lineRule="auto"/>
        <w:ind w:left="1146"/>
      </w:pPr>
    </w:p>
    <w:p w:rsidR="002A3A84" w:rsidRDefault="002A3A84" w:rsidP="002A3A84">
      <w:pPr>
        <w:pStyle w:val="B4a"/>
        <w:numPr>
          <w:ilvl w:val="0"/>
          <w:numId w:val="0"/>
        </w:numPr>
        <w:spacing w:after="240" w:afterAutospacing="0" w:line="240" w:lineRule="auto"/>
        <w:ind w:left="1146"/>
      </w:pPr>
      <w:r>
        <w:lastRenderedPageBreak/>
        <w:t>Si baja de 50 % al 30%, diferencia 1 punto -&gt; 2% de reducción de ayuda.</w:t>
      </w:r>
    </w:p>
    <w:p w:rsidR="002A3A84" w:rsidRDefault="002A3A84" w:rsidP="002A3A84">
      <w:pPr>
        <w:pStyle w:val="B4a"/>
        <w:numPr>
          <w:ilvl w:val="0"/>
          <w:numId w:val="0"/>
        </w:numPr>
        <w:spacing w:after="240" w:afterAutospacing="0" w:line="240" w:lineRule="auto"/>
        <w:ind w:left="1146"/>
      </w:pPr>
      <w:r>
        <w:t>Si baja de 50 % al 20%, diferencia 2 puntos -&gt; 4% de reducción de ayuda.</w:t>
      </w:r>
    </w:p>
    <w:p w:rsidR="002A3A84" w:rsidRDefault="002A3A84" w:rsidP="002A3A84">
      <w:pPr>
        <w:pStyle w:val="B4a"/>
        <w:numPr>
          <w:ilvl w:val="0"/>
          <w:numId w:val="0"/>
        </w:numPr>
        <w:spacing w:after="240" w:afterAutospacing="0" w:line="240" w:lineRule="auto"/>
        <w:ind w:left="1146"/>
      </w:pPr>
      <w:r>
        <w:t>Si baja de 50 % al 2%, diferencia 3 puntos -&gt; 6% de reducción de ayuda.</w:t>
      </w:r>
    </w:p>
    <w:p w:rsidR="002A3A84" w:rsidRDefault="002A3A84" w:rsidP="002A3A84">
      <w:pPr>
        <w:pStyle w:val="B4a"/>
        <w:numPr>
          <w:ilvl w:val="0"/>
          <w:numId w:val="0"/>
        </w:numPr>
        <w:tabs>
          <w:tab w:val="num" w:pos="1146"/>
        </w:tabs>
        <w:spacing w:after="240" w:afterAutospacing="0" w:line="240" w:lineRule="auto"/>
        <w:ind w:left="426"/>
      </w:pPr>
      <w:r>
        <w:t>k) D</w:t>
      </w:r>
      <w:r w:rsidRPr="005C79A9">
        <w:t xml:space="preserve">edicación </w:t>
      </w:r>
      <w:r>
        <w:t xml:space="preserve">horaria </w:t>
      </w:r>
      <w:r w:rsidRPr="005C79A9">
        <w:t xml:space="preserve">de mujeres al proyecto </w:t>
      </w:r>
      <w:r>
        <w:t>puntuada por ser &gt; 50% si baja del 50%</w:t>
      </w:r>
      <w:r w:rsidRPr="005C79A9">
        <w:t>.</w:t>
      </w:r>
    </w:p>
    <w:p w:rsidR="002A3A84" w:rsidRDefault="002A3A84" w:rsidP="002A3A84">
      <w:pPr>
        <w:pStyle w:val="B4a"/>
        <w:numPr>
          <w:ilvl w:val="0"/>
          <w:numId w:val="0"/>
        </w:numPr>
        <w:spacing w:after="240" w:afterAutospacing="0" w:line="240" w:lineRule="auto"/>
        <w:ind w:left="1146"/>
      </w:pPr>
      <w:r>
        <w:t>3 puntos -&gt; 6% de reducción de ayuda.</w:t>
      </w:r>
    </w:p>
    <w:p w:rsidR="002A3A84" w:rsidRPr="005C79A9" w:rsidRDefault="002A3A84" w:rsidP="002A3A84">
      <w:pPr>
        <w:pStyle w:val="B4a"/>
        <w:numPr>
          <w:ilvl w:val="0"/>
          <w:numId w:val="0"/>
        </w:numPr>
        <w:tabs>
          <w:tab w:val="num" w:pos="1146"/>
        </w:tabs>
        <w:spacing w:after="240" w:afterAutospacing="0" w:line="240" w:lineRule="auto"/>
        <w:ind w:left="426"/>
      </w:pPr>
    </w:p>
    <w:p w:rsidR="002A3A84" w:rsidRDefault="002A3A84" w:rsidP="002A3A84">
      <w:pPr>
        <w:pStyle w:val="B4a"/>
        <w:numPr>
          <w:ilvl w:val="0"/>
          <w:numId w:val="0"/>
        </w:numPr>
        <w:tabs>
          <w:tab w:val="num" w:pos="1146"/>
        </w:tabs>
        <w:spacing w:after="240" w:afterAutospacing="0" w:line="240" w:lineRule="auto"/>
        <w:ind w:left="426"/>
      </w:pPr>
      <w:r>
        <w:t xml:space="preserve">l) No se solicita </w:t>
      </w:r>
      <w:r w:rsidRPr="00677EC3">
        <w:t>patente</w:t>
      </w:r>
      <w:r>
        <w:t xml:space="preserve"> o se solicita una de menor puntuación</w:t>
      </w:r>
      <w:r w:rsidRPr="00677EC3">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6"/>
        <w:gridCol w:w="1245"/>
      </w:tblGrid>
      <w:tr w:rsidR="002A3A84" w:rsidRPr="0046774C" w:rsidTr="00D16F01">
        <w:tc>
          <w:tcPr>
            <w:tcW w:w="6346"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Tipo de patente</w:t>
            </w:r>
          </w:p>
        </w:tc>
        <w:tc>
          <w:tcPr>
            <w:tcW w:w="1245"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 xml:space="preserve">Puntos </w:t>
            </w:r>
          </w:p>
        </w:tc>
      </w:tr>
      <w:tr w:rsidR="002A3A84" w:rsidRPr="0046774C" w:rsidTr="00D16F01">
        <w:tc>
          <w:tcPr>
            <w:tcW w:w="6346" w:type="dxa"/>
            <w:shd w:val="clear" w:color="auto" w:fill="auto"/>
          </w:tcPr>
          <w:p w:rsidR="002A3A84" w:rsidRPr="00C84B97" w:rsidRDefault="002A3A84" w:rsidP="00D16F01">
            <w:pPr>
              <w:tabs>
                <w:tab w:val="center" w:pos="2552"/>
                <w:tab w:val="center" w:pos="6804"/>
              </w:tabs>
              <w:rPr>
                <w:rFonts w:ascii="Arial" w:hAnsi="Arial" w:cs="Arial"/>
              </w:rPr>
            </w:pPr>
            <w:r w:rsidRPr="00C84B97">
              <w:rPr>
                <w:rFonts w:ascii="Arial" w:hAnsi="Arial" w:cs="Arial"/>
              </w:rPr>
              <w:t>Solicitud de modelo de utilidad o certificado complementario de protección de medicamentos y de productos fitosanitarios</w:t>
            </w:r>
            <w:r>
              <w:rPr>
                <w:rFonts w:ascii="Arial" w:hAnsi="Arial" w:cs="Arial"/>
              </w:rPr>
              <w:t>.</w:t>
            </w:r>
          </w:p>
        </w:tc>
        <w:tc>
          <w:tcPr>
            <w:tcW w:w="1245"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1</w:t>
            </w:r>
          </w:p>
        </w:tc>
      </w:tr>
      <w:tr w:rsidR="002A3A84" w:rsidRPr="0046774C" w:rsidTr="00D16F01">
        <w:tc>
          <w:tcPr>
            <w:tcW w:w="6346" w:type="dxa"/>
            <w:shd w:val="clear" w:color="auto" w:fill="auto"/>
          </w:tcPr>
          <w:p w:rsidR="002A3A84" w:rsidRPr="00C84B97" w:rsidRDefault="002A3A84" w:rsidP="00D16F01">
            <w:pPr>
              <w:tabs>
                <w:tab w:val="center" w:pos="2552"/>
                <w:tab w:val="center" w:pos="6804"/>
              </w:tabs>
              <w:rPr>
                <w:rFonts w:ascii="Arial" w:hAnsi="Arial" w:cs="Arial"/>
              </w:rPr>
            </w:pPr>
            <w:r w:rsidRPr="00C84B97">
              <w:rPr>
                <w:rFonts w:ascii="Arial" w:hAnsi="Arial" w:cs="Arial"/>
              </w:rPr>
              <w:t>Solicitud de patente de invención nacional o de terceros países</w:t>
            </w:r>
            <w:r>
              <w:rPr>
                <w:rFonts w:ascii="Arial" w:hAnsi="Arial" w:cs="Arial"/>
              </w:rPr>
              <w:t>.</w:t>
            </w:r>
          </w:p>
        </w:tc>
        <w:tc>
          <w:tcPr>
            <w:tcW w:w="1245"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2</w:t>
            </w:r>
          </w:p>
        </w:tc>
      </w:tr>
      <w:tr w:rsidR="002A3A84" w:rsidRPr="0046774C" w:rsidTr="00D16F01">
        <w:tc>
          <w:tcPr>
            <w:tcW w:w="6346" w:type="dxa"/>
            <w:shd w:val="clear" w:color="auto" w:fill="auto"/>
          </w:tcPr>
          <w:p w:rsidR="002A3A84" w:rsidRPr="00C84B97" w:rsidRDefault="002A3A84" w:rsidP="00D16F01">
            <w:pPr>
              <w:tabs>
                <w:tab w:val="center" w:pos="2552"/>
                <w:tab w:val="center" w:pos="6804"/>
              </w:tabs>
              <w:rPr>
                <w:rFonts w:ascii="Arial" w:hAnsi="Arial" w:cs="Arial"/>
              </w:rPr>
            </w:pPr>
            <w:r>
              <w:rPr>
                <w:rFonts w:ascii="Arial" w:hAnsi="Arial" w:cs="Arial"/>
              </w:rPr>
              <w:t>Solicitud de patente europea.</w:t>
            </w:r>
          </w:p>
        </w:tc>
        <w:tc>
          <w:tcPr>
            <w:tcW w:w="1245" w:type="dxa"/>
            <w:shd w:val="clear" w:color="auto" w:fill="auto"/>
          </w:tcPr>
          <w:p w:rsidR="002A3A84" w:rsidRPr="00C84B97" w:rsidRDefault="002A3A84" w:rsidP="00D16F01">
            <w:pPr>
              <w:tabs>
                <w:tab w:val="center" w:pos="2552"/>
                <w:tab w:val="center" w:pos="6804"/>
              </w:tabs>
              <w:jc w:val="center"/>
              <w:rPr>
                <w:rFonts w:ascii="Arial" w:hAnsi="Arial" w:cs="Arial"/>
              </w:rPr>
            </w:pPr>
            <w:r w:rsidRPr="00C84B97">
              <w:rPr>
                <w:rFonts w:ascii="Arial" w:hAnsi="Arial" w:cs="Arial"/>
              </w:rPr>
              <w:t>3</w:t>
            </w:r>
          </w:p>
        </w:tc>
      </w:tr>
    </w:tbl>
    <w:p w:rsidR="002A3A84" w:rsidRPr="0046774C" w:rsidRDefault="002A3A84" w:rsidP="002A3A84">
      <w:pPr>
        <w:ind w:left="360"/>
      </w:pPr>
    </w:p>
    <w:p w:rsidR="002A3A84" w:rsidRDefault="002A3A84" w:rsidP="002A3A84">
      <w:pPr>
        <w:pStyle w:val="B4a"/>
        <w:numPr>
          <w:ilvl w:val="0"/>
          <w:numId w:val="0"/>
        </w:numPr>
        <w:spacing w:after="240" w:afterAutospacing="0" w:line="240" w:lineRule="auto"/>
        <w:ind w:left="1146"/>
      </w:pPr>
      <w:r>
        <w:t>Si pasa de europea a nacional, diferencia 1 punto -&gt; 2% de reducción de ayuda.</w:t>
      </w:r>
    </w:p>
    <w:p w:rsidR="002A3A84" w:rsidRDefault="002A3A84" w:rsidP="002A3A84">
      <w:pPr>
        <w:pStyle w:val="B4a"/>
        <w:numPr>
          <w:ilvl w:val="0"/>
          <w:numId w:val="0"/>
        </w:numPr>
        <w:spacing w:after="240" w:afterAutospacing="0" w:line="240" w:lineRule="auto"/>
        <w:ind w:left="1146"/>
      </w:pPr>
      <w:r>
        <w:t>Si pasa de europea a no solicitar, diferencia 2 puntos -&gt; 4% de reducción de ayuda.</w:t>
      </w:r>
    </w:p>
    <w:p w:rsidR="002A3A84" w:rsidRDefault="002A3A84" w:rsidP="002A3A84">
      <w:pPr>
        <w:rPr>
          <w:rFonts w:ascii="Arial" w:hAnsi="Arial" w:cs="Arial"/>
          <w:lang w:val="es-ES_tradnl"/>
        </w:rPr>
      </w:pPr>
    </w:p>
    <w:p w:rsidR="002A3A84" w:rsidRDefault="002A3A84" w:rsidP="002A3A84">
      <w:pPr>
        <w:jc w:val="both"/>
        <w:rPr>
          <w:rFonts w:ascii="Arial" w:hAnsi="Arial" w:cs="Arial"/>
          <w:b/>
          <w:lang w:val="es-ES_tradnl"/>
        </w:rPr>
      </w:pPr>
      <w:r>
        <w:rPr>
          <w:rFonts w:ascii="Arial" w:hAnsi="Arial" w:cs="Arial"/>
          <w:b/>
          <w:lang w:val="es-ES_tradnl"/>
        </w:rPr>
        <w:t>Difusión</w:t>
      </w:r>
    </w:p>
    <w:p w:rsidR="002A3A84" w:rsidRPr="003A79BA" w:rsidRDefault="002A3A84" w:rsidP="002A3A84">
      <w:pPr>
        <w:jc w:val="both"/>
        <w:rPr>
          <w:rFonts w:ascii="Arial" w:hAnsi="Arial" w:cs="Arial"/>
          <w:lang w:val="es-ES_tradnl"/>
        </w:rPr>
      </w:pPr>
      <w:r>
        <w:rPr>
          <w:rFonts w:ascii="Arial" w:hAnsi="Arial" w:cs="Arial"/>
        </w:rPr>
        <w:t xml:space="preserve">Base 17.1.d). </w:t>
      </w:r>
      <w:r>
        <w:rPr>
          <w:rFonts w:ascii="Arial" w:hAnsi="Arial" w:cs="Arial"/>
          <w:lang w:val="es-ES_tradnl"/>
        </w:rPr>
        <w:t xml:space="preserve">&gt; 50.000 € de ayuda: </w:t>
      </w:r>
      <w:r w:rsidRPr="003A79BA">
        <w:rPr>
          <w:rFonts w:ascii="Arial" w:hAnsi="Arial" w:cs="Arial"/>
          <w:lang w:val="es-ES_tradnl"/>
        </w:rPr>
        <w:t>Remitir nota de prensa o publicar en medios digitales, mencionando las ayudas.</w:t>
      </w:r>
    </w:p>
    <w:p w:rsidR="002A3A84" w:rsidRDefault="002A3A84" w:rsidP="002A3A84">
      <w:pPr>
        <w:jc w:val="both"/>
        <w:rPr>
          <w:rFonts w:ascii="Arial" w:hAnsi="Arial" w:cs="Arial"/>
          <w:lang w:val="es-ES_tradnl"/>
        </w:rPr>
      </w:pPr>
      <w:r>
        <w:rPr>
          <w:rFonts w:ascii="Arial" w:hAnsi="Arial" w:cs="Arial"/>
        </w:rPr>
        <w:t xml:space="preserve">Base 18.3.c). </w:t>
      </w:r>
      <w:r>
        <w:rPr>
          <w:rFonts w:ascii="Arial" w:hAnsi="Arial" w:cs="Arial"/>
          <w:lang w:val="es-ES_tradnl"/>
        </w:rPr>
        <w:t xml:space="preserve">Cartel de tamaño </w:t>
      </w:r>
      <w:r w:rsidRPr="003A79BA">
        <w:rPr>
          <w:rFonts w:ascii="Arial" w:hAnsi="Arial" w:cs="Arial"/>
          <w:lang w:val="es-ES_tradnl"/>
        </w:rPr>
        <w:t>A</w:t>
      </w:r>
      <w:r>
        <w:rPr>
          <w:rFonts w:ascii="Arial" w:hAnsi="Arial" w:cs="Arial"/>
          <w:lang w:val="es-ES_tradnl"/>
        </w:rPr>
        <w:t>3, según modelo.</w:t>
      </w:r>
    </w:p>
    <w:p w:rsidR="00F746C1" w:rsidRDefault="00F746C1" w:rsidP="0081622E">
      <w:pPr>
        <w:jc w:val="both"/>
        <w:rPr>
          <w:rFonts w:ascii="Arial" w:hAnsi="Arial" w:cs="Arial"/>
          <w:lang w:val="es-ES_tradnl"/>
        </w:rPr>
      </w:pPr>
    </w:p>
    <w:p w:rsidR="00F746C1" w:rsidRDefault="00F746C1" w:rsidP="0081622E">
      <w:pPr>
        <w:jc w:val="both"/>
        <w:rPr>
          <w:rFonts w:ascii="Arial" w:hAnsi="Arial" w:cs="Arial"/>
          <w:lang w:val="es-ES_tradnl"/>
        </w:rPr>
      </w:pPr>
    </w:p>
    <w:p w:rsidR="00F746C1" w:rsidRPr="008E1F9E" w:rsidRDefault="00F746C1" w:rsidP="0081622E">
      <w:pPr>
        <w:jc w:val="both"/>
        <w:rPr>
          <w:rFonts w:ascii="Arial" w:hAnsi="Arial" w:cs="Arial"/>
          <w:b/>
          <w:color w:val="FF0000"/>
          <w:lang w:val="es-ES_tradnl"/>
        </w:rPr>
      </w:pPr>
      <w:r w:rsidRPr="008E1F9E">
        <w:rPr>
          <w:rFonts w:ascii="Arial" w:hAnsi="Arial" w:cs="Arial"/>
          <w:b/>
          <w:color w:val="FF0000"/>
          <w:lang w:val="es-ES_tradnl"/>
        </w:rPr>
        <w:t>DUDAS RESUELTAS PLANTEADAS EN LA VIDECONFERENCIA</w:t>
      </w:r>
    </w:p>
    <w:p w:rsidR="00F746C1" w:rsidRDefault="00F746C1" w:rsidP="0081622E">
      <w:pPr>
        <w:jc w:val="both"/>
        <w:rPr>
          <w:rFonts w:ascii="Arial" w:hAnsi="Arial" w:cs="Arial"/>
          <w:color w:val="0070C0"/>
          <w:lang w:val="es-ES_tradnl"/>
        </w:rPr>
      </w:pPr>
      <w:r w:rsidRPr="00F746C1">
        <w:rPr>
          <w:rFonts w:ascii="Arial" w:hAnsi="Arial" w:cs="Arial"/>
          <w:color w:val="0070C0"/>
          <w:lang w:val="es-ES_tradnl"/>
        </w:rPr>
        <w:t>El contenido no es estrictamente el mismo que el respondido en directo. No se ha transcrito.</w:t>
      </w:r>
    </w:p>
    <w:p w:rsidR="00F746C1" w:rsidRDefault="00F746C1" w:rsidP="00F746C1">
      <w:pPr>
        <w:jc w:val="both"/>
        <w:rPr>
          <w:rFonts w:ascii="Arial" w:hAnsi="Arial" w:cs="Arial"/>
          <w:b/>
          <w:lang w:val="es-ES_tradnl"/>
        </w:rPr>
      </w:pPr>
    </w:p>
    <w:p w:rsidR="00F746C1" w:rsidRPr="006A4292" w:rsidRDefault="00F746C1" w:rsidP="00F746C1">
      <w:pPr>
        <w:jc w:val="both"/>
        <w:rPr>
          <w:rFonts w:ascii="Arial" w:hAnsi="Arial" w:cs="Arial"/>
          <w:b/>
          <w:lang w:val="es-ES_tradnl"/>
        </w:rPr>
      </w:pPr>
      <w:r w:rsidRPr="006A4292">
        <w:rPr>
          <w:rFonts w:ascii="Arial" w:hAnsi="Arial" w:cs="Arial"/>
          <w:b/>
          <w:lang w:val="es-ES_tradnl"/>
        </w:rPr>
        <w:t>1</w:t>
      </w:r>
      <w:r>
        <w:rPr>
          <w:rFonts w:ascii="Arial" w:hAnsi="Arial" w:cs="Arial"/>
          <w:b/>
          <w:lang w:val="es-ES_tradnl"/>
        </w:rPr>
        <w:t>.</w:t>
      </w:r>
      <w:r w:rsidRPr="006A4292">
        <w:rPr>
          <w:rFonts w:ascii="Arial" w:hAnsi="Arial" w:cs="Arial"/>
          <w:b/>
          <w:lang w:val="es-ES_tradnl"/>
        </w:rPr>
        <w:t xml:space="preserve"> </w:t>
      </w:r>
      <w:r>
        <w:rPr>
          <w:rFonts w:ascii="Arial" w:hAnsi="Arial" w:cs="Arial"/>
          <w:b/>
          <w:lang w:val="es-ES_tradnl"/>
        </w:rPr>
        <w:t>Cuando se pueden des</w:t>
      </w:r>
      <w:r w:rsidRPr="006A4292">
        <w:rPr>
          <w:rFonts w:ascii="Arial" w:hAnsi="Arial" w:cs="Arial"/>
          <w:b/>
          <w:lang w:val="es-ES_tradnl"/>
        </w:rPr>
        <w:t>carga</w:t>
      </w:r>
      <w:r>
        <w:rPr>
          <w:rFonts w:ascii="Arial" w:hAnsi="Arial" w:cs="Arial"/>
          <w:b/>
          <w:lang w:val="es-ES_tradnl"/>
        </w:rPr>
        <w:t>r los</w:t>
      </w:r>
      <w:r w:rsidRPr="006A4292">
        <w:rPr>
          <w:rFonts w:ascii="Arial" w:hAnsi="Arial" w:cs="Arial"/>
          <w:b/>
          <w:lang w:val="es-ES_tradnl"/>
        </w:rPr>
        <w:t xml:space="preserve"> documentos en la ficha.</w:t>
      </w:r>
    </w:p>
    <w:p w:rsidR="00F746C1" w:rsidRPr="00AB4670" w:rsidRDefault="00F746C1" w:rsidP="00F746C1">
      <w:pPr>
        <w:jc w:val="both"/>
        <w:rPr>
          <w:rFonts w:ascii="Arial" w:hAnsi="Arial" w:cs="Arial"/>
          <w:color w:val="0070C0"/>
          <w:lang w:val="es-ES_tradnl"/>
        </w:rPr>
      </w:pPr>
      <w:r w:rsidRPr="00AB4670">
        <w:rPr>
          <w:rFonts w:ascii="Arial" w:hAnsi="Arial" w:cs="Arial"/>
          <w:color w:val="0070C0"/>
          <w:lang w:val="es-ES_tradnl"/>
        </w:rPr>
        <w:t>Ya se pueden descargar. Se corrigió la memoria individual porque descargaba la de colaboración-transferencia. En caso de que pinchando en el enlace descargue incorrectamente la misma, elimine cookies o utilice otro navegador.</w:t>
      </w:r>
    </w:p>
    <w:p w:rsidR="00F746C1" w:rsidRPr="00CE5FB2" w:rsidRDefault="00F746C1" w:rsidP="00F746C1">
      <w:pPr>
        <w:jc w:val="both"/>
        <w:rPr>
          <w:rFonts w:ascii="Arial" w:hAnsi="Arial" w:cs="Arial"/>
          <w:lang w:val="es-ES_tradnl"/>
        </w:rPr>
      </w:pPr>
    </w:p>
    <w:p w:rsidR="00F746C1" w:rsidRPr="006A4292" w:rsidRDefault="00F746C1" w:rsidP="00F746C1">
      <w:pPr>
        <w:jc w:val="both"/>
        <w:rPr>
          <w:rFonts w:ascii="Arial" w:hAnsi="Arial" w:cs="Arial"/>
          <w:b/>
          <w:lang w:val="es-ES_tradnl"/>
        </w:rPr>
      </w:pPr>
      <w:r>
        <w:rPr>
          <w:rFonts w:ascii="Arial" w:hAnsi="Arial" w:cs="Arial"/>
          <w:b/>
          <w:lang w:val="es-ES_tradnl"/>
        </w:rPr>
        <w:t xml:space="preserve">2. Propuesta de </w:t>
      </w:r>
      <w:r w:rsidRPr="006A4292">
        <w:rPr>
          <w:rFonts w:ascii="Arial" w:hAnsi="Arial" w:cs="Arial"/>
          <w:b/>
          <w:lang w:val="es-ES_tradnl"/>
        </w:rPr>
        <w:t xml:space="preserve">compatibilidad con Google </w:t>
      </w:r>
      <w:proofErr w:type="spellStart"/>
      <w:r w:rsidRPr="006A4292">
        <w:rPr>
          <w:rFonts w:ascii="Arial" w:hAnsi="Arial" w:cs="Arial"/>
          <w:b/>
          <w:lang w:val="es-ES_tradnl"/>
        </w:rPr>
        <w:t>sheets</w:t>
      </w:r>
      <w:proofErr w:type="spellEnd"/>
      <w:r>
        <w:rPr>
          <w:rFonts w:ascii="Arial" w:hAnsi="Arial" w:cs="Arial"/>
          <w:b/>
          <w:lang w:val="es-ES_tradnl"/>
        </w:rPr>
        <w:t>, que nos permite por las macros</w:t>
      </w:r>
      <w:r w:rsidRPr="006A4292">
        <w:rPr>
          <w:rFonts w:ascii="Arial" w:hAnsi="Arial" w:cs="Arial"/>
          <w:b/>
          <w:lang w:val="es-ES_tradnl"/>
        </w:rPr>
        <w:t>.</w:t>
      </w:r>
    </w:p>
    <w:p w:rsidR="00F746C1" w:rsidRPr="00AB4670" w:rsidRDefault="00F746C1" w:rsidP="00F746C1">
      <w:pPr>
        <w:jc w:val="both"/>
        <w:rPr>
          <w:rFonts w:ascii="Arial" w:hAnsi="Arial" w:cs="Arial"/>
          <w:color w:val="0070C0"/>
          <w:lang w:val="es-ES_tradnl"/>
        </w:rPr>
      </w:pPr>
      <w:r w:rsidRPr="00AB4670">
        <w:rPr>
          <w:rFonts w:ascii="Arial" w:hAnsi="Arial" w:cs="Arial"/>
          <w:color w:val="0070C0"/>
          <w:lang w:val="es-ES_tradnl"/>
        </w:rPr>
        <w:t>Se verán pros y contras. Con las macros se facilita el cálculo del tamaño de empresa.</w:t>
      </w:r>
    </w:p>
    <w:p w:rsidR="00F746C1" w:rsidRPr="00CE5FB2" w:rsidRDefault="00F746C1" w:rsidP="00F746C1">
      <w:pPr>
        <w:jc w:val="both"/>
        <w:rPr>
          <w:rFonts w:ascii="Arial" w:hAnsi="Arial" w:cs="Arial"/>
          <w:lang w:val="es-ES_tradnl"/>
        </w:rPr>
      </w:pPr>
    </w:p>
    <w:p w:rsidR="00F746C1" w:rsidRPr="006A4292" w:rsidRDefault="00F746C1" w:rsidP="00F746C1">
      <w:pPr>
        <w:jc w:val="both"/>
        <w:rPr>
          <w:rFonts w:ascii="Arial" w:hAnsi="Arial" w:cs="Arial"/>
          <w:b/>
          <w:lang w:val="es-ES_tradnl"/>
        </w:rPr>
      </w:pPr>
      <w:r w:rsidRPr="006A4292">
        <w:rPr>
          <w:rFonts w:ascii="Arial" w:hAnsi="Arial" w:cs="Arial"/>
          <w:b/>
          <w:lang w:val="es-ES_tradnl"/>
        </w:rPr>
        <w:t>3. Morosidad y consecuencias de incumplimiento.</w:t>
      </w:r>
    </w:p>
    <w:p w:rsidR="00F746C1" w:rsidRPr="00AB4670" w:rsidRDefault="00F746C1" w:rsidP="00F746C1">
      <w:pPr>
        <w:jc w:val="both"/>
        <w:rPr>
          <w:rFonts w:ascii="Arial" w:hAnsi="Arial" w:cs="Arial"/>
          <w:color w:val="0070C0"/>
          <w:lang w:val="es-ES_tradnl"/>
        </w:rPr>
      </w:pPr>
      <w:r w:rsidRPr="00AB4670">
        <w:rPr>
          <w:rFonts w:ascii="Arial" w:hAnsi="Arial" w:cs="Arial"/>
          <w:color w:val="0070C0"/>
          <w:lang w:val="es-ES_tradnl"/>
        </w:rPr>
        <w:t>Si se incumple, no se tiene derecho a la ayuda, al total de la ayuda, no hasta 30.000 €.</w:t>
      </w:r>
    </w:p>
    <w:p w:rsidR="00F746C1" w:rsidRPr="00291529" w:rsidRDefault="00F746C1" w:rsidP="00F746C1">
      <w:pPr>
        <w:jc w:val="both"/>
        <w:rPr>
          <w:rFonts w:ascii="Arial" w:hAnsi="Arial" w:cs="Arial"/>
          <w:lang w:val="es-ES_tradnl"/>
        </w:rPr>
      </w:pPr>
    </w:p>
    <w:p w:rsidR="00F746C1" w:rsidRPr="006A4292" w:rsidRDefault="00F746C1" w:rsidP="00F746C1">
      <w:pPr>
        <w:jc w:val="both"/>
        <w:rPr>
          <w:rFonts w:ascii="Arial" w:hAnsi="Arial" w:cs="Arial"/>
          <w:b/>
          <w:lang w:val="es-ES_tradnl"/>
        </w:rPr>
      </w:pPr>
      <w:r w:rsidRPr="006A4292">
        <w:rPr>
          <w:rFonts w:ascii="Arial" w:hAnsi="Arial" w:cs="Arial"/>
          <w:b/>
          <w:lang w:val="es-ES_tradnl"/>
        </w:rPr>
        <w:t>4. ¿Qué pasa cuando una empresa es la primera vez</w:t>
      </w:r>
      <w:r>
        <w:rPr>
          <w:rFonts w:ascii="Arial" w:hAnsi="Arial" w:cs="Arial"/>
          <w:b/>
          <w:lang w:val="es-ES_tradnl"/>
        </w:rPr>
        <w:t xml:space="preserve"> que se presenta</w:t>
      </w:r>
      <w:r w:rsidRPr="006A4292">
        <w:rPr>
          <w:rFonts w:ascii="Arial" w:hAnsi="Arial" w:cs="Arial"/>
          <w:b/>
          <w:lang w:val="es-ES_tradnl"/>
        </w:rPr>
        <w:t xml:space="preserve"> y la otra no</w:t>
      </w:r>
      <w:r>
        <w:rPr>
          <w:rFonts w:ascii="Arial" w:hAnsi="Arial" w:cs="Arial"/>
          <w:b/>
          <w:lang w:val="es-ES_tradnl"/>
        </w:rPr>
        <w:t>,</w:t>
      </w:r>
      <w:r w:rsidRPr="006A4292">
        <w:rPr>
          <w:rFonts w:ascii="Arial" w:hAnsi="Arial" w:cs="Arial"/>
          <w:b/>
          <w:lang w:val="es-ES_tradnl"/>
        </w:rPr>
        <w:t xml:space="preserve"> en</w:t>
      </w:r>
      <w:r>
        <w:rPr>
          <w:rFonts w:ascii="Arial" w:hAnsi="Arial" w:cs="Arial"/>
          <w:b/>
          <w:lang w:val="es-ES_tradnl"/>
        </w:rPr>
        <w:t xml:space="preserve"> </w:t>
      </w:r>
      <w:r w:rsidRPr="006A4292">
        <w:rPr>
          <w:rFonts w:ascii="Arial" w:hAnsi="Arial" w:cs="Arial"/>
          <w:b/>
          <w:lang w:val="es-ES_tradnl"/>
        </w:rPr>
        <w:t>colaboración?</w:t>
      </w:r>
    </w:p>
    <w:p w:rsidR="00F746C1" w:rsidRPr="00AB4670" w:rsidRDefault="00F746C1" w:rsidP="00F746C1">
      <w:pPr>
        <w:jc w:val="both"/>
        <w:rPr>
          <w:rFonts w:ascii="Arial" w:hAnsi="Arial" w:cs="Arial"/>
          <w:color w:val="0070C0"/>
          <w:lang w:val="es-ES_tradnl"/>
        </w:rPr>
      </w:pPr>
      <w:r w:rsidRPr="00AB4670">
        <w:rPr>
          <w:rFonts w:ascii="Arial" w:hAnsi="Arial" w:cs="Arial"/>
          <w:color w:val="0070C0"/>
          <w:lang w:val="es-ES_tradnl"/>
        </w:rPr>
        <w:t xml:space="preserve">Los puntos son para el proyecto en su conjunto. </w:t>
      </w:r>
    </w:p>
    <w:p w:rsidR="00F746C1" w:rsidRDefault="00F746C1" w:rsidP="00F746C1">
      <w:pPr>
        <w:jc w:val="both"/>
        <w:rPr>
          <w:rFonts w:ascii="Arial" w:hAnsi="Arial" w:cs="Arial"/>
          <w:lang w:val="es-ES_tradnl"/>
        </w:rPr>
      </w:pPr>
      <w:r>
        <w:rPr>
          <w:rFonts w:ascii="Arial" w:hAnsi="Arial" w:cs="Arial"/>
          <w:lang w:val="es-ES_tradnl"/>
        </w:rPr>
        <w:t xml:space="preserve">Base 10.1.g) </w:t>
      </w:r>
      <w:r w:rsidRPr="006A4292">
        <w:rPr>
          <w:rFonts w:ascii="Arial" w:hAnsi="Arial" w:cs="Arial"/>
          <w:lang w:val="es-ES_tradnl"/>
        </w:rPr>
        <w:t xml:space="preserve">Participación de una empresa que se beneficia por primera vez de estas ayudas. Se valora que </w:t>
      </w:r>
      <w:r w:rsidRPr="006A4292">
        <w:rPr>
          <w:rFonts w:ascii="Arial" w:hAnsi="Arial" w:cs="Arial"/>
          <w:u w:val="single"/>
          <w:lang w:val="es-ES_tradnl"/>
        </w:rPr>
        <w:t>en el proyecto participe una empresa que no haya obtenido las ayudas a proyectos de I+D en las convocatorias anteriores</w:t>
      </w:r>
      <w:r w:rsidRPr="006A4292">
        <w:rPr>
          <w:rFonts w:ascii="Arial" w:hAnsi="Arial" w:cs="Arial"/>
          <w:lang w:val="es-ES_tradnl"/>
        </w:rPr>
        <w:t xml:space="preserve"> (del año 2016 a 2022). A estos efectos, se tendrán en cuenta las ayudas concedidas a empresas asociadas o vinculadas a la misma: 3 puntos.</w:t>
      </w:r>
    </w:p>
    <w:p w:rsidR="00F746C1" w:rsidRDefault="00F746C1" w:rsidP="00F746C1">
      <w:pPr>
        <w:jc w:val="both"/>
        <w:rPr>
          <w:rFonts w:ascii="Arial" w:hAnsi="Arial" w:cs="Arial"/>
          <w:lang w:val="es-ES_tradnl"/>
        </w:rPr>
      </w:pPr>
    </w:p>
    <w:p w:rsidR="00F746C1" w:rsidRPr="00AB4670" w:rsidRDefault="00F746C1" w:rsidP="00F746C1">
      <w:pPr>
        <w:jc w:val="both"/>
        <w:rPr>
          <w:rFonts w:ascii="Arial" w:hAnsi="Arial" w:cs="Arial"/>
          <w:b/>
          <w:lang w:val="es-ES_tradnl"/>
        </w:rPr>
      </w:pPr>
      <w:r w:rsidRPr="00AB4670">
        <w:rPr>
          <w:rFonts w:ascii="Arial" w:hAnsi="Arial" w:cs="Arial"/>
          <w:b/>
          <w:lang w:val="es-ES_tradnl"/>
        </w:rPr>
        <w:t>5. ¿Hay que hacer 3 justificaciones anuales? ¿Con documentación y auditoría? 2023, 2024 y 2025?</w:t>
      </w:r>
    </w:p>
    <w:p w:rsidR="00F746C1" w:rsidRPr="00AB4670" w:rsidRDefault="00F746C1" w:rsidP="00F746C1">
      <w:pPr>
        <w:jc w:val="both"/>
        <w:rPr>
          <w:rFonts w:ascii="Arial" w:hAnsi="Arial" w:cs="Arial"/>
          <w:color w:val="0070C0"/>
          <w:lang w:val="es-ES_tradnl"/>
        </w:rPr>
      </w:pPr>
      <w:r w:rsidRPr="00AB4670">
        <w:rPr>
          <w:rFonts w:ascii="Arial" w:hAnsi="Arial" w:cs="Arial"/>
          <w:color w:val="0070C0"/>
          <w:lang w:val="es-ES_tradnl"/>
        </w:rPr>
        <w:t>Se hacen dos justificaciones, conforme a la base 14. Apartados b) y d). En la justificación parcial el año 2023 y en la justificación final 2024 y 2025. No obstante, se está valorando si será mejor separar 2024 y 2025 en dos informes económicos, o bien hacerlo todo en el mismo. Se informará en la ficha en su momento.</w:t>
      </w:r>
    </w:p>
    <w:p w:rsidR="00F746C1" w:rsidRPr="00674076" w:rsidRDefault="00F746C1" w:rsidP="00F746C1">
      <w:pPr>
        <w:jc w:val="both"/>
        <w:rPr>
          <w:rFonts w:ascii="Arial" w:hAnsi="Arial" w:cs="Arial"/>
          <w:lang w:val="es-ES_tradnl"/>
        </w:rPr>
      </w:pPr>
      <w:r>
        <w:rPr>
          <w:rFonts w:ascii="Arial" w:hAnsi="Arial" w:cs="Arial"/>
          <w:lang w:val="es-ES_tradnl"/>
        </w:rPr>
        <w:t xml:space="preserve">Base 14.1.b). </w:t>
      </w:r>
      <w:r w:rsidRPr="00674076">
        <w:rPr>
          <w:rFonts w:ascii="Arial" w:hAnsi="Arial" w:cs="Arial"/>
          <w:lang w:val="es-ES_tradnl"/>
        </w:rPr>
        <w:t xml:space="preserve">Hasta el 1 de abril 2024 (incluido): </w:t>
      </w:r>
      <w:r w:rsidRPr="00674076">
        <w:rPr>
          <w:rFonts w:ascii="Arial" w:hAnsi="Arial" w:cs="Arial"/>
          <w:u w:val="single"/>
          <w:lang w:val="es-ES_tradnl"/>
        </w:rPr>
        <w:t>Justificación parcial</w:t>
      </w:r>
      <w:r w:rsidRPr="00674076">
        <w:rPr>
          <w:rFonts w:ascii="Arial" w:hAnsi="Arial" w:cs="Arial"/>
          <w:lang w:val="es-ES_tradnl"/>
        </w:rPr>
        <w:t>.</w:t>
      </w:r>
    </w:p>
    <w:p w:rsidR="00F746C1" w:rsidRDefault="00F746C1" w:rsidP="00F746C1">
      <w:pPr>
        <w:jc w:val="both"/>
        <w:rPr>
          <w:rFonts w:ascii="Arial" w:hAnsi="Arial" w:cs="Arial"/>
          <w:lang w:val="es-ES_tradnl"/>
        </w:rPr>
      </w:pPr>
      <w:r w:rsidRPr="00674076">
        <w:rPr>
          <w:rFonts w:ascii="Arial" w:hAnsi="Arial" w:cs="Arial"/>
          <w:lang w:val="es-ES_tradnl"/>
        </w:rPr>
        <w:t xml:space="preserve">Se presentará la documentación técnica y económica relativa a la actividad </w:t>
      </w:r>
      <w:r w:rsidRPr="00674076">
        <w:rPr>
          <w:rFonts w:ascii="Arial" w:hAnsi="Arial" w:cs="Arial"/>
          <w:u w:val="single"/>
          <w:lang w:val="es-ES_tradnl"/>
        </w:rPr>
        <w:t>y gasto realizado por el beneficiario desde el inicio del proyecto hasta el 31 de diciembre 2023 y pagado hasta el 31 de marzo de 2024</w:t>
      </w:r>
      <w:r w:rsidRPr="00674076">
        <w:rPr>
          <w:rFonts w:ascii="Arial" w:hAnsi="Arial" w:cs="Arial"/>
          <w:lang w:val="es-ES_tradnl"/>
        </w:rPr>
        <w:t>.</w:t>
      </w:r>
    </w:p>
    <w:p w:rsidR="00F746C1" w:rsidRPr="006C1808" w:rsidRDefault="00F746C1" w:rsidP="00F746C1">
      <w:pPr>
        <w:jc w:val="both"/>
        <w:rPr>
          <w:rFonts w:ascii="Arial" w:hAnsi="Arial" w:cs="Arial"/>
          <w:lang w:val="es-ES_tradnl"/>
        </w:rPr>
      </w:pPr>
      <w:r>
        <w:rPr>
          <w:rFonts w:ascii="Arial" w:hAnsi="Arial" w:cs="Arial"/>
          <w:lang w:val="es-ES_tradnl"/>
        </w:rPr>
        <w:t xml:space="preserve">Base 14.1.d). </w:t>
      </w:r>
      <w:r w:rsidRPr="006C1808">
        <w:rPr>
          <w:rFonts w:ascii="Arial" w:hAnsi="Arial" w:cs="Arial"/>
          <w:lang w:val="es-ES_tradnl"/>
        </w:rPr>
        <w:t xml:space="preserve">Hasta el 1 de noviembre de 2025 (incluido) o hasta tres meses tras la finalización del proyecto si finalizase antes: </w:t>
      </w:r>
      <w:r w:rsidRPr="006C1808">
        <w:rPr>
          <w:rFonts w:ascii="Arial" w:hAnsi="Arial" w:cs="Arial"/>
          <w:u w:val="single"/>
          <w:lang w:val="es-ES_tradnl"/>
        </w:rPr>
        <w:t>Justificación final</w:t>
      </w:r>
      <w:r w:rsidRPr="006C1808">
        <w:rPr>
          <w:rFonts w:ascii="Arial" w:hAnsi="Arial" w:cs="Arial"/>
          <w:lang w:val="es-ES_tradnl"/>
        </w:rPr>
        <w:t xml:space="preserve">. </w:t>
      </w:r>
    </w:p>
    <w:p w:rsidR="00F746C1" w:rsidRDefault="00F746C1" w:rsidP="00F746C1">
      <w:pPr>
        <w:jc w:val="both"/>
        <w:rPr>
          <w:rFonts w:ascii="Arial" w:hAnsi="Arial" w:cs="Arial"/>
          <w:lang w:val="es-ES_tradnl"/>
        </w:rPr>
      </w:pPr>
      <w:r w:rsidRPr="006C1808">
        <w:rPr>
          <w:rFonts w:ascii="Arial" w:hAnsi="Arial" w:cs="Arial"/>
          <w:lang w:val="es-ES_tradnl"/>
        </w:rPr>
        <w:t xml:space="preserve">Se presentará la documentación técnica y económica relativa a la actividad </w:t>
      </w:r>
      <w:r w:rsidRPr="006C1808">
        <w:rPr>
          <w:rFonts w:ascii="Arial" w:hAnsi="Arial" w:cs="Arial"/>
          <w:u w:val="single"/>
          <w:lang w:val="es-ES_tradnl"/>
        </w:rPr>
        <w:t>y gasto realizado por el beneficiario hasta la finalización del proyecto y pagado hasta el 31 de octubre de 2025 o hasta tres meses tras la finalización del proyecto si finalizase antes</w:t>
      </w:r>
      <w:r w:rsidRPr="006C1808">
        <w:rPr>
          <w:rFonts w:ascii="Arial" w:hAnsi="Arial" w:cs="Arial"/>
          <w:lang w:val="es-ES_tradnl"/>
        </w:rPr>
        <w:t>.</w:t>
      </w:r>
    </w:p>
    <w:p w:rsidR="00F746C1" w:rsidRDefault="00F746C1" w:rsidP="00F746C1">
      <w:pPr>
        <w:jc w:val="both"/>
        <w:rPr>
          <w:rFonts w:ascii="Arial" w:hAnsi="Arial" w:cs="Arial"/>
          <w:lang w:val="es-ES_tradnl"/>
        </w:rPr>
      </w:pPr>
      <w:r w:rsidRPr="00AB4670">
        <w:rPr>
          <w:rFonts w:ascii="Arial" w:hAnsi="Arial" w:cs="Arial"/>
          <w:lang w:val="es-ES_tradnl"/>
        </w:rPr>
        <w:t>Junto con la justificación final se presentará la documentación señalada en la base 17.2, así como cualquier otra información sobre el proyecto que sea solicitada por el órgano gestor con fines estadísticos o de control.</w:t>
      </w:r>
    </w:p>
    <w:p w:rsidR="00F746C1" w:rsidRPr="00FD5AC5" w:rsidRDefault="00F746C1" w:rsidP="00F746C1">
      <w:pPr>
        <w:jc w:val="both"/>
        <w:rPr>
          <w:rFonts w:ascii="Arial" w:hAnsi="Arial" w:cs="Arial"/>
          <w:lang w:val="es-ES_tradnl"/>
        </w:rPr>
      </w:pPr>
    </w:p>
    <w:p w:rsidR="00F746C1" w:rsidRPr="00AB4670" w:rsidRDefault="00F746C1" w:rsidP="00F746C1">
      <w:pPr>
        <w:jc w:val="both"/>
        <w:rPr>
          <w:rFonts w:ascii="Arial" w:hAnsi="Arial" w:cs="Arial"/>
          <w:color w:val="0070C0"/>
          <w:lang w:val="es-ES_tradnl"/>
        </w:rPr>
      </w:pPr>
      <w:r w:rsidRPr="00AB4670">
        <w:rPr>
          <w:rFonts w:ascii="Arial" w:hAnsi="Arial" w:cs="Arial"/>
          <w:color w:val="0070C0"/>
          <w:lang w:val="es-ES_tradnl"/>
        </w:rPr>
        <w:t>La documentación y auditoría de estas dos justificaciones se refleja en el apartado 2</w:t>
      </w:r>
      <w:r>
        <w:rPr>
          <w:rFonts w:ascii="Arial" w:hAnsi="Arial" w:cs="Arial"/>
          <w:color w:val="0070C0"/>
          <w:lang w:val="es-ES_tradnl"/>
        </w:rPr>
        <w:t>, al margen de la base 17 sobre la justificación final.</w:t>
      </w:r>
    </w:p>
    <w:p w:rsidR="00F746C1" w:rsidRPr="00AB4670" w:rsidRDefault="00F746C1" w:rsidP="00F746C1">
      <w:pPr>
        <w:jc w:val="both"/>
        <w:rPr>
          <w:rFonts w:ascii="Arial" w:hAnsi="Arial" w:cs="Arial"/>
          <w:lang w:val="es-ES_tradnl"/>
        </w:rPr>
      </w:pPr>
      <w:r>
        <w:rPr>
          <w:rFonts w:ascii="Arial" w:hAnsi="Arial" w:cs="Arial"/>
          <w:lang w:val="es-ES_tradnl"/>
        </w:rPr>
        <w:lastRenderedPageBreak/>
        <w:t xml:space="preserve">Base 14.2. </w:t>
      </w:r>
      <w:r w:rsidRPr="00AB4670">
        <w:rPr>
          <w:rFonts w:ascii="Arial" w:hAnsi="Arial" w:cs="Arial"/>
          <w:lang w:val="es-ES_tradnl"/>
        </w:rPr>
        <w:t>Los beneficiarios deberán además presentar, junto a las justificaciones parcial y final, la siguiente documentación:</w:t>
      </w:r>
    </w:p>
    <w:p w:rsidR="00F746C1" w:rsidRPr="00AB4670" w:rsidRDefault="00F746C1" w:rsidP="00F746C1">
      <w:pPr>
        <w:jc w:val="both"/>
        <w:rPr>
          <w:rFonts w:ascii="Arial" w:hAnsi="Arial" w:cs="Arial"/>
          <w:lang w:val="es-ES_tradnl"/>
        </w:rPr>
      </w:pPr>
      <w:r w:rsidRPr="00AB4670">
        <w:rPr>
          <w:rFonts w:ascii="Arial" w:hAnsi="Arial" w:cs="Arial"/>
          <w:lang w:val="es-ES_tradnl"/>
        </w:rPr>
        <w:t xml:space="preserve">a) </w:t>
      </w:r>
      <w:r w:rsidRPr="00AB4670">
        <w:rPr>
          <w:rFonts w:ascii="Arial" w:hAnsi="Arial" w:cs="Arial"/>
          <w:lang w:val="es-ES_tradnl"/>
        </w:rPr>
        <w:tab/>
      </w:r>
      <w:r w:rsidRPr="002A3A84">
        <w:rPr>
          <w:rFonts w:ascii="Arial" w:hAnsi="Arial" w:cs="Arial"/>
          <w:u w:val="single"/>
          <w:lang w:val="es-ES_tradnl"/>
        </w:rPr>
        <w:t>Informe de auditoría</w:t>
      </w:r>
      <w:r w:rsidRPr="00AB4670">
        <w:rPr>
          <w:rFonts w:ascii="Arial" w:hAnsi="Arial" w:cs="Arial"/>
          <w:lang w:val="es-ES_tradnl"/>
        </w:rPr>
        <w:t xml:space="preserve"> conforme a lo dispuesto en el anexo de la Orden Foral 136/2013, de 17 de abril, de la Consejera de Economía, Hacienda, Industria y Empleo (BON nº 89, de 13 de mayo de 2013). El gasto de los informes de auditoría se subvencionará en la forma señalada en la base 4.2.1.g).</w:t>
      </w:r>
    </w:p>
    <w:p w:rsidR="00F746C1" w:rsidRPr="00AB4670" w:rsidRDefault="00F746C1" w:rsidP="00F746C1">
      <w:pPr>
        <w:jc w:val="both"/>
        <w:rPr>
          <w:rFonts w:ascii="Arial" w:hAnsi="Arial" w:cs="Arial"/>
          <w:lang w:val="es-ES_tradnl"/>
        </w:rPr>
      </w:pPr>
      <w:r w:rsidRPr="00AB4670">
        <w:rPr>
          <w:rFonts w:ascii="Arial" w:hAnsi="Arial" w:cs="Arial"/>
          <w:lang w:val="es-ES_tradnl"/>
        </w:rPr>
        <w:t xml:space="preserve">b) </w:t>
      </w:r>
      <w:r w:rsidRPr="00AB4670">
        <w:rPr>
          <w:rFonts w:ascii="Arial" w:hAnsi="Arial" w:cs="Arial"/>
          <w:lang w:val="es-ES_tradnl"/>
        </w:rPr>
        <w:tab/>
        <w:t>Cuenta justificativa.</w:t>
      </w:r>
    </w:p>
    <w:p w:rsidR="00F746C1" w:rsidRPr="00AB4670" w:rsidRDefault="00F746C1" w:rsidP="00F746C1">
      <w:pPr>
        <w:jc w:val="both"/>
        <w:rPr>
          <w:rFonts w:ascii="Arial" w:hAnsi="Arial" w:cs="Arial"/>
          <w:lang w:val="es-ES_tradnl"/>
        </w:rPr>
      </w:pPr>
      <w:r w:rsidRPr="00AB4670">
        <w:rPr>
          <w:rFonts w:ascii="Arial" w:hAnsi="Arial" w:cs="Arial"/>
          <w:lang w:val="es-ES_tradnl"/>
        </w:rPr>
        <w:t xml:space="preserve">c) </w:t>
      </w:r>
      <w:r w:rsidRPr="00AB4670">
        <w:rPr>
          <w:rFonts w:ascii="Arial" w:hAnsi="Arial" w:cs="Arial"/>
          <w:lang w:val="es-ES_tradnl"/>
        </w:rPr>
        <w:tab/>
      </w:r>
      <w:r w:rsidRPr="002A3A84">
        <w:rPr>
          <w:rFonts w:ascii="Arial" w:hAnsi="Arial" w:cs="Arial"/>
          <w:u w:val="single"/>
          <w:lang w:val="es-ES_tradnl"/>
        </w:rPr>
        <w:t>Listado de comprobación emitido por la auditoría</w:t>
      </w:r>
      <w:r w:rsidRPr="00AB4670">
        <w:rPr>
          <w:rFonts w:ascii="Arial" w:hAnsi="Arial" w:cs="Arial"/>
          <w:lang w:val="es-ES_tradnl"/>
        </w:rPr>
        <w:t xml:space="preserve"> ajustado al modelo disponible en la ficha de las ayudas.</w:t>
      </w:r>
    </w:p>
    <w:p w:rsidR="00F746C1" w:rsidRDefault="00F746C1" w:rsidP="00F746C1">
      <w:pPr>
        <w:jc w:val="both"/>
        <w:rPr>
          <w:rFonts w:ascii="Arial" w:hAnsi="Arial" w:cs="Arial"/>
          <w:lang w:val="es-ES_tradnl"/>
        </w:rPr>
      </w:pPr>
      <w:r w:rsidRPr="00AB4670">
        <w:rPr>
          <w:rFonts w:ascii="Arial" w:hAnsi="Arial" w:cs="Arial"/>
          <w:lang w:val="es-ES_tradnl"/>
        </w:rPr>
        <w:t xml:space="preserve">d) </w:t>
      </w:r>
      <w:r w:rsidRPr="00AB4670">
        <w:rPr>
          <w:rFonts w:ascii="Arial" w:hAnsi="Arial" w:cs="Arial"/>
          <w:lang w:val="es-ES_tradnl"/>
        </w:rPr>
        <w:tab/>
        <w:t>Documentación justificativa del gasto (facturas y pagos)</w:t>
      </w:r>
    </w:p>
    <w:p w:rsidR="00F746C1" w:rsidRDefault="00F746C1" w:rsidP="00F746C1">
      <w:pPr>
        <w:jc w:val="both"/>
        <w:rPr>
          <w:rFonts w:ascii="Arial" w:hAnsi="Arial" w:cs="Arial"/>
          <w:lang w:val="es-ES_tradnl"/>
        </w:rPr>
      </w:pPr>
    </w:p>
    <w:p w:rsidR="00F746C1" w:rsidRPr="006C1808" w:rsidRDefault="00F746C1" w:rsidP="00F746C1">
      <w:pPr>
        <w:jc w:val="both"/>
        <w:rPr>
          <w:rFonts w:ascii="Arial" w:hAnsi="Arial" w:cs="Arial"/>
          <w:b/>
          <w:lang w:val="es-ES_tradnl"/>
        </w:rPr>
      </w:pPr>
      <w:r>
        <w:rPr>
          <w:rFonts w:ascii="Arial" w:hAnsi="Arial" w:cs="Arial"/>
          <w:b/>
          <w:lang w:val="es-ES_tradnl"/>
        </w:rPr>
        <w:t>6</w:t>
      </w:r>
      <w:r w:rsidRPr="006C1808">
        <w:rPr>
          <w:rFonts w:ascii="Arial" w:hAnsi="Arial" w:cs="Arial"/>
          <w:b/>
          <w:lang w:val="es-ES_tradnl"/>
        </w:rPr>
        <w:t xml:space="preserve">. Si hay facturas del primer periodo que no han llegado a la hora de hacer el primer informe intermedio pero la fecha es de ese periodo, </w:t>
      </w:r>
      <w:r>
        <w:rPr>
          <w:rFonts w:ascii="Arial" w:hAnsi="Arial" w:cs="Arial"/>
          <w:b/>
          <w:lang w:val="es-ES_tradnl"/>
        </w:rPr>
        <w:t>¿</w:t>
      </w:r>
      <w:r w:rsidRPr="006C1808">
        <w:rPr>
          <w:rFonts w:ascii="Arial" w:hAnsi="Arial" w:cs="Arial"/>
          <w:b/>
          <w:lang w:val="es-ES_tradnl"/>
        </w:rPr>
        <w:t xml:space="preserve">se pueden incluir en el informe parcial? </w:t>
      </w:r>
      <w:r>
        <w:rPr>
          <w:rFonts w:ascii="Arial" w:hAnsi="Arial" w:cs="Arial"/>
          <w:b/>
          <w:lang w:val="es-ES_tradnl"/>
        </w:rPr>
        <w:t>¿</w:t>
      </w:r>
      <w:r w:rsidRPr="006C1808">
        <w:rPr>
          <w:rFonts w:ascii="Arial" w:hAnsi="Arial" w:cs="Arial"/>
          <w:b/>
          <w:lang w:val="es-ES_tradnl"/>
        </w:rPr>
        <w:t>O ya quedan directamente fuera?</w:t>
      </w:r>
    </w:p>
    <w:p w:rsidR="00F746C1" w:rsidRDefault="00F746C1" w:rsidP="00F746C1">
      <w:pPr>
        <w:jc w:val="both"/>
        <w:rPr>
          <w:rFonts w:ascii="Arial" w:hAnsi="Arial" w:cs="Arial"/>
          <w:color w:val="0070C0"/>
          <w:lang w:val="es-ES_tradnl"/>
        </w:rPr>
      </w:pPr>
      <w:r>
        <w:rPr>
          <w:rFonts w:ascii="Arial" w:hAnsi="Arial" w:cs="Arial"/>
          <w:color w:val="0070C0"/>
          <w:lang w:val="es-ES_tradnl"/>
        </w:rPr>
        <w:t>Se puede presentar, se ha buscado la forma de evitar dejar fuera del proyecto gastos realizados y pagados. Lo que no conocemos de momento es cómo nos afectará la ley de morosidad próximamente.</w:t>
      </w:r>
    </w:p>
    <w:p w:rsidR="00F746C1" w:rsidRDefault="00F746C1" w:rsidP="00F746C1">
      <w:pPr>
        <w:jc w:val="both"/>
        <w:rPr>
          <w:rFonts w:ascii="Arial" w:hAnsi="Arial" w:cs="Arial"/>
          <w:color w:val="0070C0"/>
          <w:lang w:val="es-ES_tradnl"/>
        </w:rPr>
      </w:pPr>
      <w:r>
        <w:rPr>
          <w:rFonts w:ascii="Arial" w:hAnsi="Arial" w:cs="Arial"/>
          <w:color w:val="0070C0"/>
          <w:lang w:val="es-ES_tradnl"/>
        </w:rPr>
        <w:t>En la justificació</w:t>
      </w:r>
      <w:r w:rsidR="001C54AC">
        <w:rPr>
          <w:rFonts w:ascii="Arial" w:hAnsi="Arial" w:cs="Arial"/>
          <w:color w:val="0070C0"/>
          <w:lang w:val="es-ES_tradnl"/>
        </w:rPr>
        <w:t>n parcial se liquida hasta el 31</w:t>
      </w:r>
      <w:r>
        <w:rPr>
          <w:rFonts w:ascii="Arial" w:hAnsi="Arial" w:cs="Arial"/>
          <w:color w:val="0070C0"/>
          <w:lang w:val="es-ES_tradnl"/>
        </w:rPr>
        <w:t>/10/2023 (del primer periodo), pero también se abonan los gastos no presentados en el informe intermedio, hasta el 31/12/2023 y pagados hasta el 31/</w:t>
      </w:r>
      <w:r w:rsidR="001C54AC">
        <w:rPr>
          <w:rFonts w:ascii="Arial" w:hAnsi="Arial" w:cs="Arial"/>
          <w:color w:val="0070C0"/>
          <w:lang w:val="es-ES_tradnl"/>
        </w:rPr>
        <w:t>0</w:t>
      </w:r>
      <w:r>
        <w:rPr>
          <w:rFonts w:ascii="Arial" w:hAnsi="Arial" w:cs="Arial"/>
          <w:color w:val="0070C0"/>
          <w:lang w:val="es-ES_tradnl"/>
        </w:rPr>
        <w:t>3/2024 (segundo periodo).</w:t>
      </w:r>
    </w:p>
    <w:p w:rsidR="00F746C1" w:rsidRDefault="00F746C1" w:rsidP="00F746C1">
      <w:pPr>
        <w:jc w:val="both"/>
        <w:rPr>
          <w:rFonts w:ascii="Arial" w:hAnsi="Arial" w:cs="Arial"/>
          <w:color w:val="0070C0"/>
          <w:lang w:val="es-ES_tradnl"/>
        </w:rPr>
      </w:pPr>
      <w:r w:rsidRPr="006C1808">
        <w:rPr>
          <w:rFonts w:ascii="Arial" w:hAnsi="Arial" w:cs="Arial"/>
          <w:color w:val="0070C0"/>
          <w:lang w:val="es-ES_tradnl"/>
        </w:rPr>
        <w:t>Para incluir un gasto en una justificación debe acreditarse el gasto y el abono. En el caso de que en la justificación parcial una factura no estuviera abonada y no se hubiera podido presentar en la justificación parcial, podrá presentarse en la justificación final.</w:t>
      </w:r>
      <w:r>
        <w:rPr>
          <w:rFonts w:ascii="Arial" w:hAnsi="Arial" w:cs="Arial"/>
          <w:color w:val="0070C0"/>
          <w:lang w:val="es-ES_tradnl"/>
        </w:rPr>
        <w:t xml:space="preserve"> En las justificaciones no se indica fecha desde la que se pueden presentar gastos, solo hasta cuándo se pueden presentar.</w:t>
      </w:r>
    </w:p>
    <w:p w:rsidR="00F746C1" w:rsidRPr="006C1808" w:rsidRDefault="00F746C1" w:rsidP="00F746C1">
      <w:pPr>
        <w:jc w:val="both"/>
        <w:rPr>
          <w:rFonts w:ascii="Arial" w:hAnsi="Arial" w:cs="Arial"/>
          <w:color w:val="0070C0"/>
          <w:lang w:val="es-ES_tradnl"/>
        </w:rPr>
      </w:pPr>
    </w:p>
    <w:p w:rsidR="00F746C1" w:rsidRPr="00CD26BF" w:rsidRDefault="00F746C1" w:rsidP="00F746C1">
      <w:pPr>
        <w:jc w:val="both"/>
        <w:rPr>
          <w:rFonts w:ascii="Arial" w:hAnsi="Arial" w:cs="Arial"/>
          <w:b/>
          <w:lang w:val="es-ES_tradnl"/>
        </w:rPr>
      </w:pPr>
      <w:r>
        <w:rPr>
          <w:rFonts w:ascii="Arial" w:hAnsi="Arial" w:cs="Arial"/>
          <w:b/>
          <w:lang w:val="es-ES_tradnl"/>
        </w:rPr>
        <w:t>7</w:t>
      </w:r>
      <w:r w:rsidRPr="00CD26BF">
        <w:rPr>
          <w:rFonts w:ascii="Arial" w:hAnsi="Arial" w:cs="Arial"/>
          <w:b/>
          <w:lang w:val="es-ES_tradnl"/>
        </w:rPr>
        <w:t xml:space="preserve">. Pero el gasto hasta diciembre 2024 </w:t>
      </w:r>
      <w:r w:rsidR="0006496D">
        <w:rPr>
          <w:rFonts w:ascii="Arial" w:hAnsi="Arial" w:cs="Arial"/>
          <w:b/>
          <w:lang w:val="es-ES_tradnl"/>
        </w:rPr>
        <w:t>¿</w:t>
      </w:r>
      <w:r w:rsidRPr="00CD26BF">
        <w:rPr>
          <w:rFonts w:ascii="Arial" w:hAnsi="Arial" w:cs="Arial"/>
          <w:b/>
          <w:lang w:val="es-ES_tradnl"/>
        </w:rPr>
        <w:t>se justifica ya en noviembre 2025?</w:t>
      </w:r>
    </w:p>
    <w:p w:rsidR="00F746C1" w:rsidRDefault="00F746C1" w:rsidP="00F746C1">
      <w:pPr>
        <w:jc w:val="both"/>
        <w:rPr>
          <w:rFonts w:ascii="Arial" w:hAnsi="Arial" w:cs="Arial"/>
          <w:color w:val="0070C0"/>
          <w:lang w:val="es-ES_tradnl"/>
        </w:rPr>
      </w:pPr>
      <w:r w:rsidRPr="00CD26BF">
        <w:rPr>
          <w:rFonts w:ascii="Arial" w:hAnsi="Arial" w:cs="Arial"/>
          <w:color w:val="0070C0"/>
          <w:lang w:val="es-ES_tradnl"/>
        </w:rPr>
        <w:t>Así es, la just</w:t>
      </w:r>
      <w:r>
        <w:rPr>
          <w:rFonts w:ascii="Arial" w:hAnsi="Arial" w:cs="Arial"/>
          <w:color w:val="0070C0"/>
          <w:lang w:val="es-ES_tradnl"/>
        </w:rPr>
        <w:t>ificación parcial lo es de 2023, hasta el 31/12/2023.</w:t>
      </w:r>
    </w:p>
    <w:p w:rsidR="00F746C1" w:rsidRPr="00CD26BF" w:rsidRDefault="00F746C1" w:rsidP="00F746C1">
      <w:pPr>
        <w:jc w:val="both"/>
        <w:rPr>
          <w:rFonts w:ascii="Arial" w:hAnsi="Arial" w:cs="Arial"/>
          <w:color w:val="0070C0"/>
          <w:lang w:val="es-ES_tradnl"/>
        </w:rPr>
      </w:pPr>
      <w:r>
        <w:rPr>
          <w:rFonts w:ascii="Arial" w:hAnsi="Arial" w:cs="Arial"/>
          <w:color w:val="0070C0"/>
          <w:lang w:val="es-ES_tradnl"/>
        </w:rPr>
        <w:t>A</w:t>
      </w:r>
      <w:r w:rsidRPr="00CD26BF">
        <w:rPr>
          <w:rFonts w:ascii="Arial" w:hAnsi="Arial" w:cs="Arial"/>
          <w:color w:val="0070C0"/>
          <w:lang w:val="es-ES_tradnl"/>
        </w:rPr>
        <w:t xml:space="preserve"> partir del 1/1/204 los gastos se justificarán en la justificación final, es decir hasta el 1/11/2025 o hasta tres meses tras la finalización del proyecto si finalizase antes.</w:t>
      </w:r>
      <w:r>
        <w:rPr>
          <w:rFonts w:ascii="Arial" w:hAnsi="Arial" w:cs="Arial"/>
          <w:color w:val="0070C0"/>
          <w:lang w:val="es-ES_tradnl"/>
        </w:rPr>
        <w:t xml:space="preserve"> Ver la base 14 antes citada.</w:t>
      </w:r>
    </w:p>
    <w:p w:rsidR="00F746C1" w:rsidRDefault="00F746C1" w:rsidP="00F746C1">
      <w:pPr>
        <w:jc w:val="both"/>
        <w:rPr>
          <w:rFonts w:ascii="Arial" w:hAnsi="Arial" w:cs="Arial"/>
          <w:lang w:val="es-ES_tradnl"/>
        </w:rPr>
      </w:pPr>
    </w:p>
    <w:p w:rsidR="00F746C1" w:rsidRPr="00B428E9" w:rsidRDefault="00F746C1" w:rsidP="00F746C1">
      <w:pPr>
        <w:jc w:val="both"/>
        <w:rPr>
          <w:rFonts w:ascii="Arial" w:hAnsi="Arial" w:cs="Arial"/>
          <w:b/>
          <w:lang w:val="es-ES_tradnl"/>
        </w:rPr>
      </w:pPr>
      <w:r>
        <w:rPr>
          <w:rFonts w:ascii="Arial" w:hAnsi="Arial" w:cs="Arial"/>
          <w:b/>
          <w:lang w:val="es-ES_tradnl"/>
        </w:rPr>
        <w:t>8</w:t>
      </w:r>
      <w:r w:rsidRPr="00B428E9">
        <w:rPr>
          <w:rFonts w:ascii="Arial" w:hAnsi="Arial" w:cs="Arial"/>
          <w:b/>
          <w:lang w:val="es-ES_tradnl"/>
        </w:rPr>
        <w:t xml:space="preserve">. Las modificaciones de cambios </w:t>
      </w:r>
      <w:r>
        <w:rPr>
          <w:rFonts w:ascii="Arial" w:hAnsi="Arial" w:cs="Arial"/>
          <w:b/>
          <w:lang w:val="es-ES_tradnl"/>
        </w:rPr>
        <w:t>entre</w:t>
      </w:r>
      <w:r w:rsidRPr="00B428E9">
        <w:rPr>
          <w:rFonts w:ascii="Arial" w:hAnsi="Arial" w:cs="Arial"/>
          <w:b/>
          <w:lang w:val="es-ES_tradnl"/>
        </w:rPr>
        <w:t xml:space="preserve"> partidas</w:t>
      </w:r>
      <w:r>
        <w:rPr>
          <w:rFonts w:ascii="Arial" w:hAnsi="Arial" w:cs="Arial"/>
          <w:b/>
          <w:lang w:val="es-ES_tradnl"/>
        </w:rPr>
        <w:t xml:space="preserve"> inferiores al 10%</w:t>
      </w:r>
      <w:r w:rsidRPr="00B428E9">
        <w:rPr>
          <w:rFonts w:ascii="Arial" w:hAnsi="Arial" w:cs="Arial"/>
          <w:b/>
          <w:lang w:val="es-ES_tradnl"/>
        </w:rPr>
        <w:t xml:space="preserve"> </w:t>
      </w:r>
      <w:r>
        <w:rPr>
          <w:rFonts w:ascii="Arial" w:hAnsi="Arial" w:cs="Arial"/>
          <w:b/>
          <w:lang w:val="es-ES_tradnl"/>
        </w:rPr>
        <w:t xml:space="preserve">(las </w:t>
      </w:r>
      <w:r w:rsidRPr="00B428E9">
        <w:rPr>
          <w:rFonts w:ascii="Arial" w:hAnsi="Arial" w:cs="Arial"/>
          <w:b/>
          <w:lang w:val="es-ES_tradnl"/>
        </w:rPr>
        <w:t>que no deben ser comunicadas</w:t>
      </w:r>
      <w:r>
        <w:rPr>
          <w:rFonts w:ascii="Arial" w:hAnsi="Arial" w:cs="Arial"/>
          <w:b/>
          <w:lang w:val="es-ES_tradnl"/>
        </w:rPr>
        <w:t xml:space="preserve">). Ese </w:t>
      </w:r>
      <w:r w:rsidRPr="00B428E9">
        <w:rPr>
          <w:rFonts w:ascii="Arial" w:hAnsi="Arial" w:cs="Arial"/>
          <w:b/>
          <w:lang w:val="es-ES_tradnl"/>
        </w:rPr>
        <w:t>10 %. ¿</w:t>
      </w:r>
      <w:r>
        <w:rPr>
          <w:rFonts w:ascii="Arial" w:hAnsi="Arial" w:cs="Arial"/>
          <w:b/>
          <w:lang w:val="es-ES_tradnl"/>
        </w:rPr>
        <w:t>se refiere a</w:t>
      </w:r>
      <w:r w:rsidRPr="00B428E9">
        <w:rPr>
          <w:rFonts w:ascii="Arial" w:hAnsi="Arial" w:cs="Arial"/>
          <w:b/>
          <w:lang w:val="es-ES_tradnl"/>
        </w:rPr>
        <w:t xml:space="preserve"> la partida de origen o de destino?</w:t>
      </w:r>
    </w:p>
    <w:p w:rsidR="00F746C1" w:rsidRPr="006B02F7" w:rsidRDefault="00F746C1" w:rsidP="00F746C1">
      <w:pPr>
        <w:jc w:val="both"/>
        <w:rPr>
          <w:rFonts w:ascii="Arial" w:hAnsi="Arial" w:cs="Arial"/>
          <w:color w:val="0070C0"/>
          <w:lang w:val="es-ES_tradnl"/>
        </w:rPr>
      </w:pPr>
      <w:r w:rsidRPr="006B02F7">
        <w:rPr>
          <w:rFonts w:ascii="Arial" w:hAnsi="Arial" w:cs="Arial"/>
          <w:color w:val="0070C0"/>
          <w:lang w:val="es-ES_tradnl"/>
        </w:rPr>
        <w:t>Es la partida de destino, aquella que incrementa el gasto, podría incrementarse desde otra u otras partidas.</w:t>
      </w:r>
    </w:p>
    <w:p w:rsidR="00F746C1" w:rsidRPr="00FD5AC5" w:rsidRDefault="00F746C1" w:rsidP="00F746C1">
      <w:pPr>
        <w:jc w:val="both"/>
        <w:rPr>
          <w:rFonts w:ascii="Arial" w:hAnsi="Arial" w:cs="Arial"/>
          <w:lang w:val="es-ES_tradnl"/>
        </w:rPr>
      </w:pPr>
    </w:p>
    <w:p w:rsidR="00F746C1" w:rsidRPr="00B428E9" w:rsidRDefault="00F746C1" w:rsidP="00F746C1">
      <w:pPr>
        <w:jc w:val="both"/>
        <w:rPr>
          <w:rFonts w:ascii="Arial" w:hAnsi="Arial" w:cs="Arial"/>
          <w:b/>
          <w:lang w:val="es-ES_tradnl"/>
        </w:rPr>
      </w:pPr>
      <w:r>
        <w:rPr>
          <w:rFonts w:ascii="Arial" w:hAnsi="Arial" w:cs="Arial"/>
          <w:b/>
          <w:lang w:val="es-ES_tradnl"/>
        </w:rPr>
        <w:t>9</w:t>
      </w:r>
      <w:r w:rsidRPr="00B428E9">
        <w:rPr>
          <w:rFonts w:ascii="Arial" w:hAnsi="Arial" w:cs="Arial"/>
          <w:b/>
          <w:lang w:val="es-ES_tradnl"/>
        </w:rPr>
        <w:t xml:space="preserve">. </w:t>
      </w:r>
      <w:r w:rsidR="001C54AC">
        <w:rPr>
          <w:rFonts w:ascii="Arial" w:hAnsi="Arial" w:cs="Arial"/>
          <w:b/>
          <w:lang w:val="es-ES_tradnl"/>
        </w:rPr>
        <w:t>Tener</w:t>
      </w:r>
      <w:r w:rsidRPr="00B428E9">
        <w:rPr>
          <w:rFonts w:ascii="Arial" w:hAnsi="Arial" w:cs="Arial"/>
          <w:b/>
          <w:lang w:val="es-ES_tradnl"/>
        </w:rPr>
        <w:t xml:space="preserve"> &gt;50 % de</w:t>
      </w:r>
      <w:r w:rsidR="001C54AC">
        <w:rPr>
          <w:rFonts w:ascii="Arial" w:hAnsi="Arial" w:cs="Arial"/>
          <w:b/>
          <w:lang w:val="es-ES_tradnl"/>
        </w:rPr>
        <w:t xml:space="preserve"> dedicación horaria de</w:t>
      </w:r>
      <w:r w:rsidRPr="00B428E9">
        <w:rPr>
          <w:rFonts w:ascii="Arial" w:hAnsi="Arial" w:cs="Arial"/>
          <w:b/>
          <w:lang w:val="es-ES_tradnl"/>
        </w:rPr>
        <w:t xml:space="preserve"> mujeres en el equipo </w:t>
      </w:r>
      <w:r>
        <w:rPr>
          <w:rFonts w:ascii="Arial" w:hAnsi="Arial" w:cs="Arial"/>
          <w:b/>
          <w:lang w:val="es-ES_tradnl"/>
        </w:rPr>
        <w:t>implica puntos de valoración</w:t>
      </w:r>
      <w:r w:rsidRPr="00B428E9">
        <w:rPr>
          <w:rFonts w:ascii="Arial" w:hAnsi="Arial" w:cs="Arial"/>
          <w:b/>
          <w:lang w:val="es-ES_tradnl"/>
        </w:rPr>
        <w:t xml:space="preserve"> ¿Se entiende por el número en sí o por las horas de dedicación </w:t>
      </w:r>
      <w:r w:rsidRPr="00B428E9">
        <w:rPr>
          <w:rFonts w:ascii="Arial" w:hAnsi="Arial" w:cs="Arial"/>
          <w:b/>
          <w:lang w:val="es-ES_tradnl"/>
        </w:rPr>
        <w:lastRenderedPageBreak/>
        <w:t xml:space="preserve">global? Caso práctico: Primer equipo con tres hombres con 200 horas y una mujer con 1.400 horas vs Segundo equipo con tres mujeres con 200 horas y un hombre con 1.400 horas ¿cuál tendría </w:t>
      </w:r>
      <w:r w:rsidR="001C54AC">
        <w:rPr>
          <w:rFonts w:ascii="Arial" w:hAnsi="Arial" w:cs="Arial"/>
          <w:b/>
          <w:lang w:val="es-ES_tradnl"/>
        </w:rPr>
        <w:t>los puntos de valoración</w:t>
      </w:r>
      <w:r w:rsidRPr="00B428E9">
        <w:rPr>
          <w:rFonts w:ascii="Arial" w:hAnsi="Arial" w:cs="Arial"/>
          <w:b/>
          <w:lang w:val="es-ES_tradnl"/>
        </w:rPr>
        <w:t>?</w:t>
      </w:r>
    </w:p>
    <w:p w:rsidR="00F746C1" w:rsidRDefault="00F746C1" w:rsidP="00F746C1">
      <w:pPr>
        <w:jc w:val="both"/>
        <w:rPr>
          <w:rFonts w:ascii="Arial" w:hAnsi="Arial" w:cs="Arial"/>
          <w:color w:val="0070C0"/>
          <w:lang w:val="es-ES_tradnl"/>
        </w:rPr>
      </w:pPr>
      <w:r>
        <w:rPr>
          <w:rFonts w:ascii="Arial" w:hAnsi="Arial" w:cs="Arial"/>
          <w:color w:val="0070C0"/>
          <w:lang w:val="es-ES_tradnl"/>
        </w:rPr>
        <w:t>Se refiere a las horas realizadas por mujeres, respecto del total. En ambos casos (horas de mujeres y horas totales) no se tienen en cuenta las nuevas contrataciones cuando no se sepa la persona concreta. Si no se conoce la persona no se puede conocer su sexo. Aunque sea nueva contratación, si se conoce el nombre de la persona se puede poner y entonces sí que se contabiliza.</w:t>
      </w:r>
    </w:p>
    <w:p w:rsidR="00F746C1" w:rsidRPr="00B428E9" w:rsidRDefault="00F746C1" w:rsidP="00F746C1">
      <w:pPr>
        <w:jc w:val="both"/>
        <w:rPr>
          <w:rFonts w:ascii="Arial" w:hAnsi="Arial" w:cs="Arial"/>
          <w:color w:val="0070C0"/>
          <w:lang w:val="es-ES_tradnl"/>
        </w:rPr>
      </w:pPr>
      <w:r>
        <w:rPr>
          <w:rFonts w:ascii="Arial" w:hAnsi="Arial" w:cs="Arial"/>
          <w:color w:val="0070C0"/>
          <w:lang w:val="es-ES_tradnl"/>
        </w:rPr>
        <w:t>En el primer ejemplo, 1400 horas de mujeres frente a 1600 horas totales, en el segundo 200 horas de mujeres frente a 1600 horas totales.</w:t>
      </w:r>
      <w:r w:rsidR="001C54AC">
        <w:rPr>
          <w:rFonts w:ascii="Arial" w:hAnsi="Arial" w:cs="Arial"/>
          <w:color w:val="0070C0"/>
          <w:lang w:val="es-ES_tradnl"/>
        </w:rPr>
        <w:t xml:space="preserve"> Se valoraría el primer caso por ser </w:t>
      </w:r>
      <w:r w:rsidR="00380BDB">
        <w:rPr>
          <w:rFonts w:ascii="Arial" w:hAnsi="Arial" w:cs="Arial"/>
          <w:color w:val="0070C0"/>
          <w:lang w:val="es-ES_tradnl"/>
        </w:rPr>
        <w:t>&gt;50%.</w:t>
      </w:r>
    </w:p>
    <w:p w:rsidR="00F746C1" w:rsidRDefault="00F746C1" w:rsidP="00F746C1">
      <w:pPr>
        <w:jc w:val="both"/>
        <w:rPr>
          <w:rFonts w:ascii="Arial" w:hAnsi="Arial" w:cs="Arial"/>
          <w:lang w:val="es-ES_tradnl"/>
        </w:rPr>
      </w:pPr>
      <w:r>
        <w:rPr>
          <w:rFonts w:ascii="Arial" w:hAnsi="Arial" w:cs="Arial"/>
          <w:lang w:val="es-ES_tradnl"/>
        </w:rPr>
        <w:t xml:space="preserve">Base 10.1.k). </w:t>
      </w:r>
      <w:r w:rsidRPr="00B428E9">
        <w:rPr>
          <w:rFonts w:ascii="Arial" w:hAnsi="Arial" w:cs="Arial"/>
          <w:lang w:val="es-ES_tradnl"/>
        </w:rPr>
        <w:t xml:space="preserve">Igualdad de género en la I+D. Se valora con 3 puntos que </w:t>
      </w:r>
      <w:r w:rsidRPr="00B428E9">
        <w:rPr>
          <w:rFonts w:ascii="Arial" w:hAnsi="Arial" w:cs="Arial"/>
          <w:u w:val="single"/>
          <w:lang w:val="es-ES_tradnl"/>
        </w:rPr>
        <w:t>la dedicación horaria de mujeres al proyecto sea igual o superior al 50%</w:t>
      </w:r>
      <w:r w:rsidRPr="00B428E9">
        <w:rPr>
          <w:rFonts w:ascii="Arial" w:hAnsi="Arial" w:cs="Arial"/>
          <w:lang w:val="es-ES_tradnl"/>
        </w:rPr>
        <w:t xml:space="preserve"> del total de horas del personal.</w:t>
      </w:r>
    </w:p>
    <w:p w:rsidR="00F746C1" w:rsidRDefault="00F746C1" w:rsidP="00F746C1">
      <w:pPr>
        <w:jc w:val="both"/>
        <w:rPr>
          <w:rFonts w:ascii="Arial" w:hAnsi="Arial" w:cs="Arial"/>
          <w:lang w:val="es-ES_tradnl"/>
        </w:rPr>
      </w:pPr>
    </w:p>
    <w:p w:rsidR="00F746C1" w:rsidRPr="0061115F" w:rsidRDefault="00F746C1" w:rsidP="00F746C1">
      <w:pPr>
        <w:jc w:val="both"/>
        <w:rPr>
          <w:rFonts w:ascii="Arial" w:hAnsi="Arial" w:cs="Arial"/>
          <w:b/>
          <w:lang w:val="es-ES_tradnl"/>
        </w:rPr>
      </w:pPr>
      <w:r>
        <w:rPr>
          <w:rFonts w:ascii="Arial" w:hAnsi="Arial" w:cs="Arial"/>
          <w:b/>
          <w:lang w:val="es-ES_tradnl"/>
        </w:rPr>
        <w:t>10</w:t>
      </w:r>
      <w:r w:rsidRPr="0061115F">
        <w:rPr>
          <w:rFonts w:ascii="Arial" w:hAnsi="Arial" w:cs="Arial"/>
          <w:b/>
          <w:lang w:val="es-ES_tradnl"/>
        </w:rPr>
        <w:t>. ¿Qué gastos de personal son subvencionables para los agentes del SINAI?</w:t>
      </w:r>
    </w:p>
    <w:p w:rsidR="00F746C1" w:rsidRPr="0061115F" w:rsidRDefault="00F746C1" w:rsidP="00F746C1">
      <w:pPr>
        <w:jc w:val="both"/>
        <w:rPr>
          <w:rFonts w:ascii="Arial" w:hAnsi="Arial" w:cs="Arial"/>
          <w:color w:val="0070C0"/>
          <w:lang w:val="es-ES_tradnl"/>
        </w:rPr>
      </w:pPr>
      <w:r w:rsidRPr="0061115F">
        <w:rPr>
          <w:rFonts w:ascii="Arial" w:hAnsi="Arial" w:cs="Arial"/>
          <w:color w:val="0070C0"/>
          <w:lang w:val="es-ES_tradnl"/>
        </w:rPr>
        <w:t>El gasto de personal que se dedica para el proyecto</w:t>
      </w:r>
      <w:r>
        <w:rPr>
          <w:rFonts w:ascii="Arial" w:hAnsi="Arial" w:cs="Arial"/>
          <w:color w:val="0070C0"/>
          <w:lang w:val="es-ES_tradnl"/>
        </w:rPr>
        <w:t>,</w:t>
      </w:r>
      <w:r w:rsidRPr="0061115F">
        <w:rPr>
          <w:rFonts w:ascii="Arial" w:hAnsi="Arial" w:cs="Arial"/>
          <w:color w:val="0070C0"/>
          <w:lang w:val="es-ES_tradnl"/>
        </w:rPr>
        <w:t xml:space="preserve"> excepto los casos en los que el personal ya cuenta con subvención. Este personal se consigna en </w:t>
      </w:r>
      <w:r w:rsidR="00380BDB">
        <w:rPr>
          <w:rFonts w:ascii="Arial" w:hAnsi="Arial" w:cs="Arial"/>
          <w:color w:val="0070C0"/>
          <w:lang w:val="es-ES_tradnl"/>
        </w:rPr>
        <w:t>el formulario</w:t>
      </w:r>
      <w:r w:rsidRPr="0061115F">
        <w:rPr>
          <w:rFonts w:ascii="Arial" w:hAnsi="Arial" w:cs="Arial"/>
          <w:color w:val="0070C0"/>
          <w:lang w:val="es-ES_tradnl"/>
        </w:rPr>
        <w:t xml:space="preserve"> </w:t>
      </w:r>
      <w:r w:rsidR="00380BDB" w:rsidRPr="0061115F">
        <w:rPr>
          <w:rFonts w:ascii="Arial" w:hAnsi="Arial" w:cs="Arial"/>
          <w:color w:val="0070C0"/>
          <w:lang w:val="es-ES_tradnl"/>
        </w:rPr>
        <w:t>Excel,</w:t>
      </w:r>
      <w:r w:rsidRPr="0061115F">
        <w:rPr>
          <w:rFonts w:ascii="Arial" w:hAnsi="Arial" w:cs="Arial"/>
          <w:color w:val="0070C0"/>
          <w:lang w:val="es-ES_tradnl"/>
        </w:rPr>
        <w:t xml:space="preserve"> pero con el importe de coste horario a cero.</w:t>
      </w:r>
    </w:p>
    <w:p w:rsidR="00F746C1" w:rsidRDefault="00F746C1" w:rsidP="00F746C1">
      <w:pPr>
        <w:jc w:val="both"/>
        <w:rPr>
          <w:rFonts w:ascii="Arial" w:hAnsi="Arial" w:cs="Arial"/>
          <w:lang w:val="es-ES_tradnl"/>
        </w:rPr>
      </w:pPr>
      <w:r>
        <w:rPr>
          <w:rFonts w:ascii="Arial" w:hAnsi="Arial" w:cs="Arial"/>
          <w:lang w:val="es-ES_tradnl"/>
        </w:rPr>
        <w:t xml:space="preserve">Base 4.2.2. </w:t>
      </w:r>
      <w:r w:rsidRPr="0061115F">
        <w:rPr>
          <w:rFonts w:ascii="Arial" w:hAnsi="Arial" w:cs="Arial"/>
          <w:lang w:val="es-ES_tradnl"/>
        </w:rPr>
        <w:t xml:space="preserve">Los gastos de personal de las entidades públicas </w:t>
      </w:r>
      <w:r w:rsidRPr="0061115F">
        <w:rPr>
          <w:rFonts w:ascii="Arial" w:hAnsi="Arial" w:cs="Arial"/>
          <w:u w:val="single"/>
          <w:lang w:val="es-ES_tradnl"/>
        </w:rPr>
        <w:t>que se financien a través de los Presupuestos Generales de Navarra o mediante otros fondos públicos, no se subvencionarán (aunque deberán incluirse en el presupuesto del proyecto para que computen a efectos de cuantía y de participación).</w:t>
      </w:r>
      <w:r w:rsidRPr="0061115F">
        <w:rPr>
          <w:rFonts w:ascii="Arial" w:hAnsi="Arial" w:cs="Arial"/>
          <w:lang w:val="es-ES_tradnl"/>
        </w:rPr>
        <w:t xml:space="preserve"> Solo se subvencionará la contratación de nuevo personal para la ejecución del proyecto.</w:t>
      </w:r>
    </w:p>
    <w:p w:rsidR="00F746C1" w:rsidRDefault="00F746C1" w:rsidP="00F746C1">
      <w:pPr>
        <w:jc w:val="both"/>
        <w:rPr>
          <w:rFonts w:ascii="Arial" w:hAnsi="Arial" w:cs="Arial"/>
          <w:lang w:val="es-ES_tradnl"/>
        </w:rPr>
      </w:pPr>
    </w:p>
    <w:p w:rsidR="00F746C1" w:rsidRPr="0061115F" w:rsidRDefault="00F746C1" w:rsidP="00F746C1">
      <w:pPr>
        <w:jc w:val="both"/>
        <w:rPr>
          <w:rFonts w:ascii="Arial" w:hAnsi="Arial" w:cs="Arial"/>
          <w:b/>
          <w:lang w:val="es-ES_tradnl"/>
        </w:rPr>
      </w:pPr>
      <w:r>
        <w:rPr>
          <w:rFonts w:ascii="Arial" w:hAnsi="Arial" w:cs="Arial"/>
          <w:b/>
          <w:lang w:val="es-ES_tradnl"/>
        </w:rPr>
        <w:t>11</w:t>
      </w:r>
      <w:r w:rsidRPr="0061115F">
        <w:rPr>
          <w:rFonts w:ascii="Arial" w:hAnsi="Arial" w:cs="Arial"/>
          <w:b/>
          <w:lang w:val="es-ES_tradnl"/>
        </w:rPr>
        <w:t>. ¿Es la RESOLUCIÓN 185E/2023, de 28 de junio, de la Directora General de Industria, Energía y Proyectos Estratégicos S4, por la que se aprueba la convocatoria de la subvención "Ayudas para realizar proyectos de I+D. Convocatoria 2023"?</w:t>
      </w:r>
    </w:p>
    <w:p w:rsidR="00F746C1" w:rsidRDefault="00F746C1" w:rsidP="00F746C1">
      <w:pPr>
        <w:jc w:val="both"/>
        <w:rPr>
          <w:rFonts w:ascii="Arial" w:hAnsi="Arial" w:cs="Arial"/>
          <w:color w:val="0070C0"/>
          <w:lang w:val="es-ES_tradnl"/>
        </w:rPr>
      </w:pPr>
      <w:r>
        <w:rPr>
          <w:rFonts w:ascii="Arial" w:hAnsi="Arial" w:cs="Arial"/>
          <w:color w:val="0070C0"/>
          <w:lang w:val="es-ES_tradnl"/>
        </w:rPr>
        <w:t>Sí, no obstante, en los primeros momentos se puso a disposición una resolución firmada que contenía un error en la base 8.1. La resolución se ha vuelto a firmar y actualmente en la ficha está la resolución sin firma, para que sea más fácil identificarla.</w:t>
      </w:r>
    </w:p>
    <w:p w:rsidR="00F746C1" w:rsidRPr="0061115F" w:rsidRDefault="00F746C1" w:rsidP="00F746C1">
      <w:pPr>
        <w:jc w:val="both"/>
        <w:rPr>
          <w:rFonts w:ascii="Arial" w:hAnsi="Arial" w:cs="Arial"/>
          <w:color w:val="0070C0"/>
          <w:lang w:val="es-ES_tradnl"/>
        </w:rPr>
      </w:pPr>
      <w:r>
        <w:rPr>
          <w:rFonts w:ascii="Arial" w:hAnsi="Arial" w:cs="Arial"/>
          <w:color w:val="0070C0"/>
          <w:lang w:val="es-ES_tradnl"/>
        </w:rPr>
        <w:t>El contenido correcto de la base 8.1, que se publicará en el BON es el siguiente:</w:t>
      </w:r>
    </w:p>
    <w:p w:rsidR="00F746C1" w:rsidRDefault="00F746C1" w:rsidP="00F746C1">
      <w:pPr>
        <w:jc w:val="both"/>
        <w:rPr>
          <w:rFonts w:ascii="Arial" w:hAnsi="Arial" w:cs="Arial"/>
          <w:lang w:val="es-ES_tradnl"/>
        </w:rPr>
      </w:pPr>
      <w:r>
        <w:rPr>
          <w:rFonts w:ascii="Arial" w:hAnsi="Arial" w:cs="Arial"/>
          <w:lang w:val="es-ES_tradnl"/>
        </w:rPr>
        <w:t xml:space="preserve">Base 8.1. </w:t>
      </w:r>
      <w:r w:rsidRPr="0061115F">
        <w:rPr>
          <w:rFonts w:ascii="Arial" w:hAnsi="Arial" w:cs="Arial"/>
          <w:lang w:val="es-ES_tradnl"/>
        </w:rPr>
        <w:t>El plazo para la presentación de las solicitudes, comenzará el día siguiente al de la publicación de esta Resolución en el Boletín Oficial de Navarra y finalizará el 21 de agosto de 2023.</w:t>
      </w:r>
    </w:p>
    <w:p w:rsidR="00F746C1" w:rsidRDefault="00F746C1" w:rsidP="00F746C1">
      <w:pPr>
        <w:jc w:val="both"/>
        <w:rPr>
          <w:rFonts w:ascii="Arial" w:hAnsi="Arial" w:cs="Arial"/>
          <w:lang w:val="es-ES_tradnl"/>
        </w:rPr>
      </w:pPr>
    </w:p>
    <w:p w:rsidR="00F746C1" w:rsidRPr="003A0571" w:rsidRDefault="00F746C1" w:rsidP="00F746C1">
      <w:pPr>
        <w:jc w:val="both"/>
        <w:rPr>
          <w:rFonts w:ascii="Arial" w:hAnsi="Arial" w:cs="Arial"/>
          <w:b/>
          <w:lang w:val="es-ES_tradnl"/>
        </w:rPr>
      </w:pPr>
      <w:r w:rsidRPr="003A0571">
        <w:rPr>
          <w:rFonts w:ascii="Arial" w:hAnsi="Arial" w:cs="Arial"/>
          <w:b/>
          <w:lang w:val="es-ES_tradnl"/>
        </w:rPr>
        <w:t>1</w:t>
      </w:r>
      <w:r>
        <w:rPr>
          <w:rFonts w:ascii="Arial" w:hAnsi="Arial" w:cs="Arial"/>
          <w:b/>
          <w:lang w:val="es-ES_tradnl"/>
        </w:rPr>
        <w:t>2</w:t>
      </w:r>
      <w:r w:rsidRPr="003A0571">
        <w:rPr>
          <w:rFonts w:ascii="Arial" w:hAnsi="Arial" w:cs="Arial"/>
          <w:b/>
          <w:lang w:val="es-ES_tradnl"/>
        </w:rPr>
        <w:t>. ¿Puede repetir las fechas de los períodos 1, 2 y 3 correspondientes a la Hoja Excel?</w:t>
      </w:r>
    </w:p>
    <w:p w:rsidR="00F746C1" w:rsidRPr="003A0571" w:rsidRDefault="00F746C1" w:rsidP="00F746C1">
      <w:pPr>
        <w:jc w:val="both"/>
        <w:rPr>
          <w:rFonts w:ascii="Arial" w:hAnsi="Arial" w:cs="Arial"/>
          <w:color w:val="0070C0"/>
          <w:lang w:val="es-ES_tradnl"/>
        </w:rPr>
      </w:pPr>
      <w:r w:rsidRPr="003A0571">
        <w:rPr>
          <w:rFonts w:ascii="Arial" w:hAnsi="Arial" w:cs="Arial"/>
          <w:color w:val="0070C0"/>
          <w:lang w:val="es-ES_tradnl"/>
        </w:rPr>
        <w:t>Están contemplados en la base 6.2:</w:t>
      </w:r>
    </w:p>
    <w:p w:rsidR="00F746C1" w:rsidRPr="003A0571" w:rsidRDefault="00F746C1" w:rsidP="00F746C1">
      <w:pPr>
        <w:jc w:val="both"/>
        <w:rPr>
          <w:rFonts w:ascii="Arial" w:hAnsi="Arial" w:cs="Arial"/>
          <w:lang w:val="es-ES_tradnl"/>
        </w:rPr>
      </w:pPr>
      <w:r>
        <w:rPr>
          <w:rFonts w:ascii="Arial" w:hAnsi="Arial" w:cs="Arial"/>
          <w:lang w:val="es-ES_tradnl"/>
        </w:rPr>
        <w:t xml:space="preserve">Base 6.2. </w:t>
      </w:r>
      <w:r w:rsidRPr="003A0571">
        <w:rPr>
          <w:rFonts w:ascii="Arial" w:hAnsi="Arial" w:cs="Arial"/>
          <w:lang w:val="es-ES_tradnl"/>
        </w:rPr>
        <w:t>Los periodos de ejecución del proyecto serán:</w:t>
      </w:r>
    </w:p>
    <w:p w:rsidR="00F746C1" w:rsidRPr="001E72C1" w:rsidRDefault="00F746C1" w:rsidP="00F746C1">
      <w:pPr>
        <w:pStyle w:val="B5-"/>
        <w:numPr>
          <w:ilvl w:val="0"/>
          <w:numId w:val="5"/>
        </w:numPr>
        <w:tabs>
          <w:tab w:val="clear" w:pos="720"/>
        </w:tabs>
        <w:spacing w:after="240" w:line="240" w:lineRule="auto"/>
        <w:ind w:left="851" w:hanging="425"/>
      </w:pPr>
      <w:r w:rsidRPr="003D234A">
        <w:lastRenderedPageBreak/>
        <w:t xml:space="preserve">Primer periodo: </w:t>
      </w:r>
      <w:r w:rsidRPr="001E72C1">
        <w:t>desde la fecha de inicio hasta el 31 de octubre de 2023.</w:t>
      </w:r>
    </w:p>
    <w:p w:rsidR="00F746C1" w:rsidRPr="001E72C1" w:rsidRDefault="00F746C1" w:rsidP="00F746C1">
      <w:pPr>
        <w:pStyle w:val="B5-"/>
        <w:numPr>
          <w:ilvl w:val="0"/>
          <w:numId w:val="5"/>
        </w:numPr>
        <w:tabs>
          <w:tab w:val="clear" w:pos="720"/>
        </w:tabs>
        <w:spacing w:after="240" w:line="240" w:lineRule="auto"/>
        <w:ind w:left="851" w:hanging="425"/>
      </w:pPr>
      <w:r w:rsidRPr="001E72C1">
        <w:t>Segundo periodo: desde el 1 de noviembre de 2023 hasta el 31 de octubre de 2024 o hasta la finalización del proyecto si es anterior.</w:t>
      </w:r>
    </w:p>
    <w:p w:rsidR="00F746C1" w:rsidRPr="003D234A" w:rsidRDefault="00F746C1" w:rsidP="00F746C1">
      <w:pPr>
        <w:pStyle w:val="B5-"/>
        <w:numPr>
          <w:ilvl w:val="0"/>
          <w:numId w:val="5"/>
        </w:numPr>
        <w:tabs>
          <w:tab w:val="clear" w:pos="720"/>
        </w:tabs>
        <w:spacing w:after="240" w:line="240" w:lineRule="auto"/>
        <w:ind w:left="851" w:hanging="425"/>
      </w:pPr>
      <w:r w:rsidRPr="003D234A">
        <w:t>Tercer periodo: desde el 1 de noviembre de 2024 hasta la fecha de finalización.</w:t>
      </w:r>
    </w:p>
    <w:p w:rsidR="00F746C1" w:rsidRDefault="00F746C1" w:rsidP="00F746C1">
      <w:pPr>
        <w:jc w:val="both"/>
        <w:rPr>
          <w:rFonts w:ascii="Arial" w:hAnsi="Arial" w:cs="Arial"/>
          <w:lang w:val="es-ES_tradnl"/>
        </w:rPr>
      </w:pPr>
    </w:p>
    <w:p w:rsidR="00F746C1" w:rsidRPr="005D5796" w:rsidRDefault="00F746C1" w:rsidP="00F746C1">
      <w:pPr>
        <w:jc w:val="both"/>
        <w:rPr>
          <w:rFonts w:ascii="Arial" w:hAnsi="Arial" w:cs="Arial"/>
          <w:b/>
          <w:lang w:val="es-ES_tradnl"/>
        </w:rPr>
      </w:pPr>
      <w:r w:rsidRPr="005D5796">
        <w:rPr>
          <w:rFonts w:ascii="Arial" w:hAnsi="Arial" w:cs="Arial"/>
          <w:b/>
          <w:lang w:val="es-ES_tradnl"/>
        </w:rPr>
        <w:t>1</w:t>
      </w:r>
      <w:r>
        <w:rPr>
          <w:rFonts w:ascii="Arial" w:hAnsi="Arial" w:cs="Arial"/>
          <w:b/>
          <w:lang w:val="es-ES_tradnl"/>
        </w:rPr>
        <w:t>3</w:t>
      </w:r>
      <w:r w:rsidRPr="005D5796">
        <w:rPr>
          <w:rFonts w:ascii="Arial" w:hAnsi="Arial" w:cs="Arial"/>
          <w:b/>
          <w:lang w:val="es-ES_tradnl"/>
        </w:rPr>
        <w:t>. En proyectos de transferencia ¿hay límite de presupuesto de auditoria si no eres coordinador?</w:t>
      </w:r>
    </w:p>
    <w:p w:rsidR="00F746C1" w:rsidRPr="005D5796" w:rsidRDefault="00F746C1" w:rsidP="00F746C1">
      <w:pPr>
        <w:jc w:val="both"/>
        <w:rPr>
          <w:rFonts w:ascii="Arial" w:hAnsi="Arial" w:cs="Arial"/>
          <w:color w:val="0070C0"/>
          <w:lang w:val="es-ES_tradnl"/>
        </w:rPr>
      </w:pPr>
      <w:r w:rsidRPr="005D5796">
        <w:rPr>
          <w:rFonts w:ascii="Arial" w:hAnsi="Arial" w:cs="Arial"/>
          <w:color w:val="0070C0"/>
          <w:lang w:val="es-ES_tradnl"/>
        </w:rPr>
        <w:t>No, no se consigna límite en ningún caso</w:t>
      </w:r>
      <w:r>
        <w:rPr>
          <w:rFonts w:ascii="Arial" w:hAnsi="Arial" w:cs="Arial"/>
          <w:color w:val="0070C0"/>
          <w:lang w:val="es-ES_tradnl"/>
        </w:rPr>
        <w:t xml:space="preserve"> para este tipo de gasto</w:t>
      </w:r>
      <w:r w:rsidRPr="005D5796">
        <w:rPr>
          <w:rFonts w:ascii="Arial" w:hAnsi="Arial" w:cs="Arial"/>
          <w:color w:val="0070C0"/>
          <w:lang w:val="es-ES_tradnl"/>
        </w:rPr>
        <w:t>:</w:t>
      </w:r>
    </w:p>
    <w:p w:rsidR="00F746C1" w:rsidRPr="00FD5AC5" w:rsidRDefault="00F746C1" w:rsidP="00F746C1">
      <w:pPr>
        <w:jc w:val="both"/>
        <w:rPr>
          <w:rFonts w:ascii="Arial" w:hAnsi="Arial" w:cs="Arial"/>
          <w:lang w:val="es-ES_tradnl"/>
        </w:rPr>
      </w:pPr>
      <w:r>
        <w:rPr>
          <w:rFonts w:ascii="Arial" w:hAnsi="Arial" w:cs="Arial"/>
          <w:lang w:val="es-ES_tradnl"/>
        </w:rPr>
        <w:t xml:space="preserve">Base 4.2.1.g). </w:t>
      </w:r>
      <w:r w:rsidRPr="005D5796">
        <w:rPr>
          <w:rFonts w:ascii="Arial" w:hAnsi="Arial" w:cs="Arial"/>
          <w:lang w:val="es-ES_tradnl"/>
        </w:rPr>
        <w:t>El gasto de los informes de auditoría a que alude la base 14.2.</w:t>
      </w:r>
    </w:p>
    <w:p w:rsidR="00F746C1" w:rsidRDefault="00F746C1" w:rsidP="00F746C1">
      <w:pPr>
        <w:jc w:val="both"/>
        <w:rPr>
          <w:rFonts w:ascii="Arial" w:hAnsi="Arial" w:cs="Arial"/>
          <w:lang w:val="es-ES_tradnl"/>
        </w:rPr>
      </w:pPr>
    </w:p>
    <w:p w:rsidR="00F746C1" w:rsidRPr="00575C9A" w:rsidRDefault="00F746C1" w:rsidP="00F746C1">
      <w:pPr>
        <w:jc w:val="both"/>
        <w:rPr>
          <w:rFonts w:ascii="Arial" w:hAnsi="Arial" w:cs="Arial"/>
          <w:b/>
          <w:lang w:val="es-ES_tradnl"/>
        </w:rPr>
      </w:pPr>
      <w:r w:rsidRPr="00575C9A">
        <w:rPr>
          <w:rFonts w:ascii="Arial" w:hAnsi="Arial" w:cs="Arial"/>
          <w:b/>
          <w:lang w:val="es-ES_tradnl"/>
        </w:rPr>
        <w:t>1</w:t>
      </w:r>
      <w:r>
        <w:rPr>
          <w:rFonts w:ascii="Arial" w:hAnsi="Arial" w:cs="Arial"/>
          <w:b/>
          <w:lang w:val="es-ES_tradnl"/>
        </w:rPr>
        <w:t>4</w:t>
      </w:r>
      <w:r w:rsidRPr="00575C9A">
        <w:rPr>
          <w:rFonts w:ascii="Arial" w:hAnsi="Arial" w:cs="Arial"/>
          <w:b/>
          <w:lang w:val="es-ES_tradnl"/>
        </w:rPr>
        <w:t xml:space="preserve">. Se ha indicado que la asignación de ayudas por periodos será determinada por la beneficiaria a diferencia de años anteriores ¿significa esto que el reparto de ayuda por ejercicio presupuestario (2023, 2024, 2025) se determinará como </w:t>
      </w:r>
      <w:proofErr w:type="spellStart"/>
      <w:r w:rsidRPr="00575C9A">
        <w:rPr>
          <w:rFonts w:ascii="Arial" w:hAnsi="Arial" w:cs="Arial"/>
          <w:b/>
          <w:lang w:val="es-ES_tradnl"/>
        </w:rPr>
        <w:t>el</w:t>
      </w:r>
      <w:proofErr w:type="spellEnd"/>
      <w:r w:rsidRPr="00575C9A">
        <w:rPr>
          <w:rFonts w:ascii="Arial" w:hAnsi="Arial" w:cs="Arial"/>
          <w:b/>
          <w:lang w:val="es-ES_tradnl"/>
        </w:rPr>
        <w:t xml:space="preserve"> % de ayuda por el presupuesto del periodo?</w:t>
      </w:r>
    </w:p>
    <w:p w:rsidR="00F746C1" w:rsidRPr="00575C9A" w:rsidRDefault="00F746C1" w:rsidP="00F746C1">
      <w:pPr>
        <w:jc w:val="both"/>
        <w:rPr>
          <w:rFonts w:ascii="Arial" w:hAnsi="Arial" w:cs="Arial"/>
          <w:color w:val="0070C0"/>
          <w:lang w:val="es-ES_tradnl"/>
        </w:rPr>
      </w:pPr>
      <w:r w:rsidRPr="00575C9A">
        <w:rPr>
          <w:rFonts w:ascii="Arial" w:hAnsi="Arial" w:cs="Arial"/>
          <w:color w:val="0070C0"/>
          <w:lang w:val="es-ES_tradnl"/>
        </w:rPr>
        <w:t>Sí, así es, pero no se diferencia de 2022, en la que también se hace así. Se diferencia de las convocatorias de 2021 y anteriores, en las que el reparto presupuestario se hacía dividiendo al 50% las anualidades entre los años afectados.</w:t>
      </w:r>
    </w:p>
    <w:p w:rsidR="00F746C1" w:rsidRPr="00575C9A" w:rsidRDefault="00F746C1" w:rsidP="00F746C1">
      <w:pPr>
        <w:jc w:val="both"/>
        <w:rPr>
          <w:rFonts w:ascii="Arial" w:hAnsi="Arial" w:cs="Arial"/>
          <w:color w:val="0070C0"/>
          <w:lang w:val="es-ES_tradnl"/>
        </w:rPr>
      </w:pPr>
      <w:r w:rsidRPr="00575C9A">
        <w:rPr>
          <w:rFonts w:ascii="Arial" w:hAnsi="Arial" w:cs="Arial"/>
          <w:color w:val="0070C0"/>
          <w:lang w:val="es-ES_tradnl"/>
        </w:rPr>
        <w:t>Por el contrario, ahora, las solicitantes deciden cuándo realizan el gas</w:t>
      </w:r>
      <w:r>
        <w:rPr>
          <w:rFonts w:ascii="Arial" w:hAnsi="Arial" w:cs="Arial"/>
          <w:color w:val="0070C0"/>
          <w:lang w:val="es-ES_tradnl"/>
        </w:rPr>
        <w:t>to, y el importe de la ayuda se calcula multiplicando la intensidad de ayuda por el gasto en cada periodo (En 2022 la intensidad de ayuda estaba afectada por la nota, en 2023 no). De esta manera se reducen las pérdidas de derecho a cobro por inejecución sobre todo en el primer pago a cuenta.</w:t>
      </w:r>
    </w:p>
    <w:p w:rsidR="00F746C1" w:rsidRDefault="00F746C1" w:rsidP="00F746C1">
      <w:pPr>
        <w:jc w:val="both"/>
        <w:rPr>
          <w:rFonts w:ascii="Arial" w:hAnsi="Arial" w:cs="Arial"/>
          <w:lang w:val="es-ES_tradnl"/>
        </w:rPr>
      </w:pPr>
      <w:r>
        <w:rPr>
          <w:rFonts w:ascii="Arial" w:hAnsi="Arial" w:cs="Arial"/>
          <w:lang w:val="es-ES_tradnl"/>
        </w:rPr>
        <w:t xml:space="preserve">Base 7.1. </w:t>
      </w:r>
      <w:r w:rsidRPr="00380BDB">
        <w:rPr>
          <w:rFonts w:ascii="Arial" w:hAnsi="Arial" w:cs="Arial"/>
          <w:u w:val="single"/>
          <w:lang w:val="es-ES_tradnl"/>
        </w:rPr>
        <w:t>La intensidad de la ayuda, a aplicar sobre los gastos considerados</w:t>
      </w:r>
      <w:r w:rsidRPr="00575C9A">
        <w:rPr>
          <w:rFonts w:ascii="Arial" w:hAnsi="Arial" w:cs="Arial"/>
          <w:lang w:val="es-ES_tradnl"/>
        </w:rPr>
        <w:t xml:space="preserve"> subvencionables por el órgano gestor de las ayudas, será la siguiente en función de las entidades beneficiarias:</w:t>
      </w:r>
      <w:r>
        <w:rPr>
          <w:rFonts w:ascii="Arial" w:hAnsi="Arial" w:cs="Arial"/>
          <w:lang w:val="es-ES_tradnl"/>
        </w:rPr>
        <w:t xml:space="preserve"> (ver tabla)</w:t>
      </w:r>
    </w:p>
    <w:p w:rsidR="00F746C1" w:rsidRDefault="00F746C1" w:rsidP="00F746C1">
      <w:pPr>
        <w:jc w:val="both"/>
        <w:rPr>
          <w:rFonts w:ascii="Arial" w:hAnsi="Arial" w:cs="Arial"/>
          <w:lang w:val="es-ES_tradnl"/>
        </w:rPr>
      </w:pPr>
    </w:p>
    <w:p w:rsidR="00F746C1" w:rsidRPr="00575C9A" w:rsidRDefault="00F746C1" w:rsidP="00F746C1">
      <w:pPr>
        <w:jc w:val="both"/>
        <w:rPr>
          <w:rFonts w:ascii="Arial" w:hAnsi="Arial" w:cs="Arial"/>
          <w:b/>
          <w:lang w:val="es-ES_tradnl"/>
        </w:rPr>
      </w:pPr>
      <w:r w:rsidRPr="00575C9A">
        <w:rPr>
          <w:rFonts w:ascii="Arial" w:hAnsi="Arial" w:cs="Arial"/>
          <w:b/>
          <w:lang w:val="es-ES_tradnl"/>
        </w:rPr>
        <w:t>1</w:t>
      </w:r>
      <w:r>
        <w:rPr>
          <w:rFonts w:ascii="Arial" w:hAnsi="Arial" w:cs="Arial"/>
          <w:b/>
          <w:lang w:val="es-ES_tradnl"/>
        </w:rPr>
        <w:t>5</w:t>
      </w:r>
      <w:r w:rsidRPr="00575C9A">
        <w:rPr>
          <w:rFonts w:ascii="Arial" w:hAnsi="Arial" w:cs="Arial"/>
          <w:b/>
          <w:lang w:val="es-ES_tradnl"/>
        </w:rPr>
        <w:t xml:space="preserve">. Una empresa </w:t>
      </w:r>
      <w:r>
        <w:rPr>
          <w:rFonts w:ascii="Arial" w:hAnsi="Arial" w:cs="Arial"/>
          <w:b/>
          <w:lang w:val="es-ES_tradnl"/>
        </w:rPr>
        <w:t>y una Unidad de I+D empresarial vinculadas</w:t>
      </w:r>
      <w:r w:rsidRPr="00575C9A">
        <w:rPr>
          <w:rFonts w:ascii="Arial" w:hAnsi="Arial" w:cs="Arial"/>
          <w:b/>
          <w:lang w:val="es-ES_tradnl"/>
        </w:rPr>
        <w:t xml:space="preserve"> ¿pueden ser socios en un proyecto de Transferencia, siempre que haya otros agentes del SINAI en el mismo proyecto?</w:t>
      </w:r>
    </w:p>
    <w:p w:rsidR="00F746C1" w:rsidRPr="006C1808" w:rsidRDefault="00F746C1" w:rsidP="00F746C1">
      <w:pPr>
        <w:jc w:val="both"/>
        <w:rPr>
          <w:rFonts w:ascii="Arial" w:hAnsi="Arial" w:cs="Arial"/>
          <w:color w:val="0070C0"/>
          <w:lang w:val="es-ES_tradnl"/>
        </w:rPr>
      </w:pPr>
      <w:r w:rsidRPr="006C1808">
        <w:rPr>
          <w:rFonts w:ascii="Arial" w:hAnsi="Arial" w:cs="Arial"/>
          <w:color w:val="0070C0"/>
          <w:lang w:val="es-ES_tradnl"/>
        </w:rPr>
        <w:t>Si, puesto que hay independencia entre dos partes, la empresa y al menos un agente del SINAI</w:t>
      </w:r>
      <w:r>
        <w:rPr>
          <w:rFonts w:ascii="Arial" w:hAnsi="Arial" w:cs="Arial"/>
          <w:color w:val="0070C0"/>
          <w:lang w:val="es-ES_tradnl"/>
        </w:rPr>
        <w:t>, lo que implica que exista colaboración efectiva</w:t>
      </w:r>
      <w:r w:rsidRPr="006C1808">
        <w:rPr>
          <w:rFonts w:ascii="Arial" w:hAnsi="Arial" w:cs="Arial"/>
          <w:color w:val="0070C0"/>
          <w:lang w:val="es-ES_tradnl"/>
        </w:rPr>
        <w:t>.</w:t>
      </w:r>
    </w:p>
    <w:p w:rsidR="00F746C1" w:rsidRDefault="00F746C1" w:rsidP="00F746C1">
      <w:pPr>
        <w:jc w:val="both"/>
        <w:rPr>
          <w:rFonts w:ascii="Arial" w:hAnsi="Arial" w:cs="Arial"/>
          <w:lang w:val="es-ES_tradnl"/>
        </w:rPr>
      </w:pPr>
      <w:r>
        <w:rPr>
          <w:rFonts w:ascii="Arial" w:hAnsi="Arial" w:cs="Arial"/>
          <w:lang w:val="es-ES_tradnl"/>
        </w:rPr>
        <w:t xml:space="preserve">Base 3.a) </w:t>
      </w:r>
      <w:r w:rsidRPr="00380BDB">
        <w:rPr>
          <w:rFonts w:ascii="Arial" w:hAnsi="Arial" w:cs="Arial"/>
          <w:u w:val="single"/>
          <w:lang w:val="es-ES_tradnl"/>
        </w:rPr>
        <w:t>El proyecto implique la “colaboración efectiva” entre al menos dos partes independientes</w:t>
      </w:r>
      <w:r w:rsidRPr="006C1808">
        <w:rPr>
          <w:rFonts w:ascii="Arial" w:hAnsi="Arial" w:cs="Arial"/>
          <w:lang w:val="es-ES_tradnl"/>
        </w:rPr>
        <w:t>, conforme a la definición 90 del artículo 2 del RGEC.</w:t>
      </w:r>
    </w:p>
    <w:p w:rsidR="00F746C1" w:rsidRDefault="00F746C1" w:rsidP="00F746C1">
      <w:pPr>
        <w:jc w:val="both"/>
        <w:rPr>
          <w:rFonts w:ascii="Arial" w:hAnsi="Arial" w:cs="Arial"/>
          <w:lang w:val="es-ES_tradnl"/>
        </w:rPr>
      </w:pPr>
    </w:p>
    <w:p w:rsidR="00F746C1" w:rsidRPr="00674076" w:rsidRDefault="00F746C1" w:rsidP="00F746C1">
      <w:pPr>
        <w:jc w:val="both"/>
        <w:rPr>
          <w:rFonts w:ascii="Arial" w:hAnsi="Arial" w:cs="Arial"/>
          <w:b/>
          <w:lang w:val="es-ES_tradnl"/>
        </w:rPr>
      </w:pPr>
      <w:r w:rsidRPr="00674076">
        <w:rPr>
          <w:rFonts w:ascii="Arial" w:hAnsi="Arial" w:cs="Arial"/>
          <w:b/>
          <w:lang w:val="es-ES_tradnl"/>
        </w:rPr>
        <w:t>1</w:t>
      </w:r>
      <w:r>
        <w:rPr>
          <w:rFonts w:ascii="Arial" w:hAnsi="Arial" w:cs="Arial"/>
          <w:b/>
          <w:lang w:val="es-ES_tradnl"/>
        </w:rPr>
        <w:t>6</w:t>
      </w:r>
      <w:r w:rsidRPr="00674076">
        <w:rPr>
          <w:rFonts w:ascii="Arial" w:hAnsi="Arial" w:cs="Arial"/>
          <w:b/>
          <w:lang w:val="es-ES_tradnl"/>
        </w:rPr>
        <w:t>. Se ha indicado que los gastos se justificarán anualmente, pero en la base 14, el segundo informe intermedio sólo abarca hasta octubre, ¿no?</w:t>
      </w:r>
    </w:p>
    <w:p w:rsidR="00F746C1" w:rsidRPr="00674076" w:rsidRDefault="00F746C1" w:rsidP="00F746C1">
      <w:pPr>
        <w:jc w:val="both"/>
        <w:rPr>
          <w:rFonts w:ascii="Arial" w:hAnsi="Arial" w:cs="Arial"/>
          <w:color w:val="0070C0"/>
          <w:lang w:val="es-ES_tradnl"/>
        </w:rPr>
      </w:pPr>
      <w:r w:rsidRPr="00674076">
        <w:rPr>
          <w:rFonts w:ascii="Arial" w:hAnsi="Arial" w:cs="Arial"/>
          <w:color w:val="0070C0"/>
          <w:lang w:val="es-ES_tradnl"/>
        </w:rPr>
        <w:t>Hay que distinguir entre informes intermedios y justificaciones.</w:t>
      </w:r>
    </w:p>
    <w:p w:rsidR="00F746C1" w:rsidRDefault="00F746C1" w:rsidP="00F746C1">
      <w:pPr>
        <w:jc w:val="both"/>
        <w:rPr>
          <w:rFonts w:ascii="Arial" w:hAnsi="Arial" w:cs="Arial"/>
          <w:color w:val="0070C0"/>
          <w:lang w:val="es-ES_tradnl"/>
        </w:rPr>
      </w:pPr>
      <w:r w:rsidRPr="00674076">
        <w:rPr>
          <w:rFonts w:ascii="Arial" w:hAnsi="Arial" w:cs="Arial"/>
          <w:color w:val="0070C0"/>
          <w:lang w:val="es-ES_tradnl"/>
        </w:rPr>
        <w:lastRenderedPageBreak/>
        <w:t>Hay 4 presentaciones</w:t>
      </w:r>
      <w:r>
        <w:rPr>
          <w:rFonts w:ascii="Arial" w:hAnsi="Arial" w:cs="Arial"/>
          <w:color w:val="0070C0"/>
          <w:lang w:val="es-ES_tradnl"/>
        </w:rPr>
        <w:t xml:space="preserve"> </w:t>
      </w:r>
      <w:r w:rsidR="00380BDB">
        <w:rPr>
          <w:rFonts w:ascii="Arial" w:hAnsi="Arial" w:cs="Arial"/>
          <w:color w:val="0070C0"/>
          <w:lang w:val="es-ES_tradnl"/>
        </w:rPr>
        <w:t xml:space="preserve">de informes (intermedios o justificaciones) </w:t>
      </w:r>
      <w:r>
        <w:rPr>
          <w:rFonts w:ascii="Arial" w:hAnsi="Arial" w:cs="Arial"/>
          <w:color w:val="0070C0"/>
          <w:lang w:val="es-ES_tradnl"/>
        </w:rPr>
        <w:t xml:space="preserve">que </w:t>
      </w:r>
      <w:r w:rsidR="00380BDB">
        <w:rPr>
          <w:rFonts w:ascii="Arial" w:hAnsi="Arial" w:cs="Arial"/>
          <w:color w:val="0070C0"/>
          <w:lang w:val="es-ES_tradnl"/>
        </w:rPr>
        <w:t>dan lugar</w:t>
      </w:r>
      <w:r>
        <w:rPr>
          <w:rFonts w:ascii="Arial" w:hAnsi="Arial" w:cs="Arial"/>
          <w:color w:val="0070C0"/>
          <w:lang w:val="es-ES_tradnl"/>
        </w:rPr>
        <w:t xml:space="preserve"> </w:t>
      </w:r>
      <w:r w:rsidR="00380BDB">
        <w:rPr>
          <w:rFonts w:ascii="Arial" w:hAnsi="Arial" w:cs="Arial"/>
          <w:color w:val="0070C0"/>
          <w:lang w:val="es-ES_tradnl"/>
        </w:rPr>
        <w:t>a los 4 abonos</w:t>
      </w:r>
      <w:r>
        <w:rPr>
          <w:rFonts w:ascii="Arial" w:hAnsi="Arial" w:cs="Arial"/>
          <w:color w:val="0070C0"/>
          <w:lang w:val="es-ES_tradnl"/>
        </w:rPr>
        <w:t>:</w:t>
      </w:r>
    </w:p>
    <w:p w:rsidR="00F746C1" w:rsidRPr="00057100" w:rsidRDefault="00F746C1" w:rsidP="00F746C1">
      <w:pPr>
        <w:pStyle w:val="Prrafodelista"/>
        <w:numPr>
          <w:ilvl w:val="0"/>
          <w:numId w:val="24"/>
        </w:numPr>
        <w:jc w:val="both"/>
        <w:rPr>
          <w:rFonts w:ascii="Arial" w:hAnsi="Arial" w:cs="Arial"/>
          <w:color w:val="0070C0"/>
          <w:lang w:val="es-ES_tradnl"/>
        </w:rPr>
      </w:pPr>
      <w:r w:rsidRPr="00057100">
        <w:rPr>
          <w:rFonts w:ascii="Arial" w:hAnsi="Arial" w:cs="Arial"/>
          <w:color w:val="0070C0"/>
          <w:lang w:val="es-ES_tradnl"/>
        </w:rPr>
        <w:t>Primer informe intermedio.</w:t>
      </w:r>
      <w:r w:rsidR="00380BDB">
        <w:rPr>
          <w:rFonts w:ascii="Arial" w:hAnsi="Arial" w:cs="Arial"/>
          <w:color w:val="0070C0"/>
          <w:lang w:val="es-ES_tradnl"/>
        </w:rPr>
        <w:t xml:space="preserve"> -&gt; primer pago a cuenta.</w:t>
      </w:r>
    </w:p>
    <w:p w:rsidR="00F746C1" w:rsidRPr="00057100" w:rsidRDefault="00F746C1" w:rsidP="00F746C1">
      <w:pPr>
        <w:pStyle w:val="Prrafodelista"/>
        <w:numPr>
          <w:ilvl w:val="0"/>
          <w:numId w:val="24"/>
        </w:numPr>
        <w:jc w:val="both"/>
        <w:rPr>
          <w:rFonts w:ascii="Arial" w:hAnsi="Arial" w:cs="Arial"/>
          <w:color w:val="0070C0"/>
          <w:lang w:val="es-ES_tradnl"/>
        </w:rPr>
      </w:pPr>
      <w:r w:rsidRPr="00057100">
        <w:rPr>
          <w:rFonts w:ascii="Arial" w:hAnsi="Arial" w:cs="Arial"/>
          <w:color w:val="0070C0"/>
          <w:lang w:val="es-ES_tradnl"/>
        </w:rPr>
        <w:t>Justificación parcial.</w:t>
      </w:r>
      <w:r w:rsidR="00380BDB" w:rsidRPr="00380BDB">
        <w:rPr>
          <w:rFonts w:ascii="Arial" w:hAnsi="Arial" w:cs="Arial"/>
          <w:color w:val="0070C0"/>
          <w:lang w:val="es-ES_tradnl"/>
        </w:rPr>
        <w:t xml:space="preserve"> </w:t>
      </w:r>
      <w:r w:rsidR="00380BDB">
        <w:rPr>
          <w:rFonts w:ascii="Arial" w:hAnsi="Arial" w:cs="Arial"/>
          <w:color w:val="0070C0"/>
          <w:lang w:val="es-ES_tradnl"/>
        </w:rPr>
        <w:t>-&gt; primera liquidación.</w:t>
      </w:r>
    </w:p>
    <w:p w:rsidR="00F746C1" w:rsidRPr="00057100" w:rsidRDefault="00F746C1" w:rsidP="00F746C1">
      <w:pPr>
        <w:pStyle w:val="Prrafodelista"/>
        <w:numPr>
          <w:ilvl w:val="0"/>
          <w:numId w:val="24"/>
        </w:numPr>
        <w:jc w:val="both"/>
        <w:rPr>
          <w:rFonts w:ascii="Arial" w:hAnsi="Arial" w:cs="Arial"/>
          <w:color w:val="0070C0"/>
          <w:lang w:val="es-ES_tradnl"/>
        </w:rPr>
      </w:pPr>
      <w:r w:rsidRPr="00057100">
        <w:rPr>
          <w:rFonts w:ascii="Arial" w:hAnsi="Arial" w:cs="Arial"/>
          <w:color w:val="0070C0"/>
          <w:lang w:val="es-ES_tradnl"/>
        </w:rPr>
        <w:t>Segundo informe intermedio.</w:t>
      </w:r>
      <w:r w:rsidR="00380BDB" w:rsidRPr="00380BDB">
        <w:rPr>
          <w:rFonts w:ascii="Arial" w:hAnsi="Arial" w:cs="Arial"/>
          <w:color w:val="0070C0"/>
          <w:lang w:val="es-ES_tradnl"/>
        </w:rPr>
        <w:t xml:space="preserve"> </w:t>
      </w:r>
      <w:r w:rsidR="00380BDB">
        <w:rPr>
          <w:rFonts w:ascii="Arial" w:hAnsi="Arial" w:cs="Arial"/>
          <w:color w:val="0070C0"/>
          <w:lang w:val="es-ES_tradnl"/>
        </w:rPr>
        <w:t>-&gt; segundo pago a cuenta.</w:t>
      </w:r>
    </w:p>
    <w:p w:rsidR="00F746C1" w:rsidRPr="00057100" w:rsidRDefault="00F746C1" w:rsidP="00F746C1">
      <w:pPr>
        <w:pStyle w:val="Prrafodelista"/>
        <w:numPr>
          <w:ilvl w:val="0"/>
          <w:numId w:val="24"/>
        </w:numPr>
        <w:jc w:val="both"/>
        <w:rPr>
          <w:rFonts w:ascii="Arial" w:hAnsi="Arial" w:cs="Arial"/>
          <w:color w:val="0070C0"/>
          <w:lang w:val="es-ES_tradnl"/>
        </w:rPr>
      </w:pPr>
      <w:r w:rsidRPr="00057100">
        <w:rPr>
          <w:rFonts w:ascii="Arial" w:hAnsi="Arial" w:cs="Arial"/>
          <w:color w:val="0070C0"/>
          <w:lang w:val="es-ES_tradnl"/>
        </w:rPr>
        <w:t>Justificación final.</w:t>
      </w:r>
      <w:r w:rsidR="00380BDB" w:rsidRPr="00380BDB">
        <w:rPr>
          <w:rFonts w:ascii="Arial" w:hAnsi="Arial" w:cs="Arial"/>
          <w:color w:val="0070C0"/>
          <w:lang w:val="es-ES_tradnl"/>
        </w:rPr>
        <w:t xml:space="preserve"> </w:t>
      </w:r>
      <w:r w:rsidR="00380BDB">
        <w:rPr>
          <w:rFonts w:ascii="Arial" w:hAnsi="Arial" w:cs="Arial"/>
          <w:color w:val="0070C0"/>
          <w:lang w:val="es-ES_tradnl"/>
        </w:rPr>
        <w:t>-&gt; segunda liquidación.</w:t>
      </w:r>
    </w:p>
    <w:p w:rsidR="00F746C1" w:rsidRDefault="00F746C1" w:rsidP="00F746C1">
      <w:pPr>
        <w:jc w:val="both"/>
        <w:rPr>
          <w:rFonts w:ascii="Arial" w:hAnsi="Arial" w:cs="Arial"/>
          <w:color w:val="0070C0"/>
          <w:lang w:val="es-ES_tradnl"/>
        </w:rPr>
      </w:pPr>
      <w:r w:rsidRPr="00674076">
        <w:rPr>
          <w:rFonts w:ascii="Arial" w:hAnsi="Arial" w:cs="Arial"/>
          <w:color w:val="0070C0"/>
          <w:lang w:val="es-ES_tradnl"/>
        </w:rPr>
        <w:t>Los informes intermedios, no incluyen facturas ni justificantes de abono. A partir de ellos se miran que cumplan</w:t>
      </w:r>
      <w:r>
        <w:rPr>
          <w:rFonts w:ascii="Arial" w:hAnsi="Arial" w:cs="Arial"/>
          <w:color w:val="0070C0"/>
          <w:lang w:val="es-ES_tradnl"/>
        </w:rPr>
        <w:t xml:space="preserve"> determinados</w:t>
      </w:r>
      <w:r w:rsidRPr="00674076">
        <w:rPr>
          <w:rFonts w:ascii="Arial" w:hAnsi="Arial" w:cs="Arial"/>
          <w:color w:val="0070C0"/>
          <w:lang w:val="es-ES_tradnl"/>
        </w:rPr>
        <w:t xml:space="preserve"> requisitos y se realizan los pagos a cuenta</w:t>
      </w:r>
      <w:r>
        <w:rPr>
          <w:rFonts w:ascii="Arial" w:hAnsi="Arial" w:cs="Arial"/>
          <w:color w:val="0070C0"/>
          <w:lang w:val="es-ES_tradnl"/>
        </w:rPr>
        <w:t xml:space="preserve"> (después en la liquidación correspondiente ya se verá si se abonó bien)</w:t>
      </w:r>
      <w:r w:rsidRPr="00674076">
        <w:rPr>
          <w:rFonts w:ascii="Arial" w:hAnsi="Arial" w:cs="Arial"/>
          <w:color w:val="0070C0"/>
          <w:lang w:val="es-ES_tradnl"/>
        </w:rPr>
        <w:t>.</w:t>
      </w:r>
    </w:p>
    <w:p w:rsidR="00F746C1" w:rsidRPr="00674076" w:rsidRDefault="00F746C1" w:rsidP="00F746C1">
      <w:pPr>
        <w:jc w:val="both"/>
        <w:rPr>
          <w:rFonts w:ascii="Arial" w:hAnsi="Arial" w:cs="Arial"/>
          <w:color w:val="0070C0"/>
          <w:lang w:val="es-ES_tradnl"/>
        </w:rPr>
      </w:pPr>
      <w:r>
        <w:rPr>
          <w:rFonts w:ascii="Arial" w:hAnsi="Arial" w:cs="Arial"/>
          <w:color w:val="0070C0"/>
          <w:lang w:val="es-ES_tradnl"/>
        </w:rPr>
        <w:t xml:space="preserve">El primer y segundo informes intermedios son hasta el </w:t>
      </w:r>
      <w:r w:rsidR="001C54AC">
        <w:rPr>
          <w:rFonts w:ascii="Arial" w:hAnsi="Arial" w:cs="Arial"/>
          <w:color w:val="0070C0"/>
          <w:lang w:val="es-ES_tradnl"/>
        </w:rPr>
        <w:t>31</w:t>
      </w:r>
      <w:r>
        <w:rPr>
          <w:rFonts w:ascii="Arial" w:hAnsi="Arial" w:cs="Arial"/>
          <w:color w:val="0070C0"/>
          <w:lang w:val="es-ES_tradnl"/>
        </w:rPr>
        <w:t xml:space="preserve"> de octubre de 2023 y 2024 respectivamente.</w:t>
      </w:r>
    </w:p>
    <w:p w:rsidR="00F746C1" w:rsidRDefault="00F746C1" w:rsidP="00F746C1">
      <w:pPr>
        <w:jc w:val="both"/>
        <w:rPr>
          <w:rFonts w:ascii="Arial" w:hAnsi="Arial" w:cs="Arial"/>
          <w:color w:val="0070C0"/>
          <w:lang w:val="es-ES_tradnl"/>
        </w:rPr>
      </w:pPr>
      <w:r w:rsidRPr="00674076">
        <w:rPr>
          <w:rFonts w:ascii="Arial" w:hAnsi="Arial" w:cs="Arial"/>
          <w:color w:val="0070C0"/>
          <w:lang w:val="es-ES_tradnl"/>
        </w:rPr>
        <w:t>Las justificaciones, deben demostrar el gasto, con facturas, justificantes de abono, SLD, partes de trabajo, etc. A partir de éstas, se practican las liquidaciones en las que se examinan todos los gastos minuciosamente y cuando procede se emiten subsanaciones.</w:t>
      </w:r>
      <w:r w:rsidR="00380BDB">
        <w:rPr>
          <w:rFonts w:ascii="Arial" w:hAnsi="Arial" w:cs="Arial"/>
          <w:color w:val="0070C0"/>
          <w:lang w:val="es-ES_tradnl"/>
        </w:rPr>
        <w:t xml:space="preserve"> Se examinan tanto las facturas </w:t>
      </w:r>
      <w:r w:rsidR="008257A4">
        <w:rPr>
          <w:rFonts w:ascii="Arial" w:hAnsi="Arial" w:cs="Arial"/>
          <w:color w:val="0070C0"/>
          <w:lang w:val="es-ES_tradnl"/>
        </w:rPr>
        <w:t>correspondientes a</w:t>
      </w:r>
      <w:r w:rsidR="00380BDB">
        <w:rPr>
          <w:rFonts w:ascii="Arial" w:hAnsi="Arial" w:cs="Arial"/>
          <w:color w:val="0070C0"/>
          <w:lang w:val="es-ES_tradnl"/>
        </w:rPr>
        <w:t xml:space="preserve"> los informes intermedios como de los periodos siguientes hasta el momento en que se señala.</w:t>
      </w:r>
    </w:p>
    <w:p w:rsidR="00F746C1" w:rsidRDefault="00F746C1" w:rsidP="00F746C1">
      <w:pPr>
        <w:jc w:val="both"/>
        <w:rPr>
          <w:rFonts w:ascii="Arial" w:hAnsi="Arial" w:cs="Arial"/>
          <w:color w:val="0070C0"/>
          <w:lang w:val="es-ES_tradnl"/>
        </w:rPr>
      </w:pPr>
      <w:r>
        <w:rPr>
          <w:rFonts w:ascii="Arial" w:hAnsi="Arial" w:cs="Arial"/>
          <w:color w:val="0070C0"/>
          <w:lang w:val="es-ES_tradnl"/>
        </w:rPr>
        <w:t>La justificación parcial es por el gasto de 2023 (hasta 31/12/2023).</w:t>
      </w:r>
    </w:p>
    <w:p w:rsidR="00F746C1" w:rsidRPr="00674076" w:rsidRDefault="00F746C1" w:rsidP="00F746C1">
      <w:pPr>
        <w:jc w:val="both"/>
        <w:rPr>
          <w:rFonts w:ascii="Arial" w:hAnsi="Arial" w:cs="Arial"/>
          <w:color w:val="0070C0"/>
          <w:lang w:val="es-ES_tradnl"/>
        </w:rPr>
      </w:pPr>
      <w:r>
        <w:rPr>
          <w:rFonts w:ascii="Arial" w:hAnsi="Arial" w:cs="Arial"/>
          <w:color w:val="0070C0"/>
          <w:lang w:val="es-ES_tradnl"/>
        </w:rPr>
        <w:t>La justificación final es por el resto del gasto desde el 1/1/2024 hasta el final del proyecto.</w:t>
      </w:r>
    </w:p>
    <w:p w:rsidR="00F746C1" w:rsidRDefault="00F746C1" w:rsidP="00F746C1">
      <w:pPr>
        <w:jc w:val="both"/>
        <w:rPr>
          <w:rFonts w:ascii="Arial" w:hAnsi="Arial" w:cs="Arial"/>
          <w:lang w:val="es-ES_tradnl"/>
        </w:rPr>
      </w:pPr>
    </w:p>
    <w:p w:rsidR="00F746C1" w:rsidRPr="00057100" w:rsidRDefault="00F746C1" w:rsidP="00F746C1">
      <w:pPr>
        <w:jc w:val="both"/>
        <w:rPr>
          <w:rFonts w:ascii="Arial" w:hAnsi="Arial" w:cs="Arial"/>
          <w:b/>
          <w:lang w:val="es-ES_tradnl"/>
        </w:rPr>
      </w:pPr>
      <w:r w:rsidRPr="00057100">
        <w:rPr>
          <w:rFonts w:ascii="Arial" w:hAnsi="Arial" w:cs="Arial"/>
          <w:b/>
          <w:lang w:val="es-ES_tradnl"/>
        </w:rPr>
        <w:t>1</w:t>
      </w:r>
      <w:r>
        <w:rPr>
          <w:rFonts w:ascii="Arial" w:hAnsi="Arial" w:cs="Arial"/>
          <w:b/>
          <w:lang w:val="es-ES_tradnl"/>
        </w:rPr>
        <w:t>7</w:t>
      </w:r>
      <w:r w:rsidRPr="00057100">
        <w:rPr>
          <w:rFonts w:ascii="Arial" w:hAnsi="Arial" w:cs="Arial"/>
          <w:b/>
          <w:lang w:val="es-ES_tradnl"/>
        </w:rPr>
        <w:t>. En proyectos de trasferencia, la participación de personal doctor o el % de mujeres ¿hacen referencia al conjunto del proyecto o individualmente a cada participante?</w:t>
      </w:r>
    </w:p>
    <w:p w:rsidR="00F746C1" w:rsidRPr="00CD26BF" w:rsidRDefault="00F746C1" w:rsidP="00F746C1">
      <w:pPr>
        <w:jc w:val="both"/>
        <w:rPr>
          <w:rFonts w:ascii="Arial" w:hAnsi="Arial" w:cs="Arial"/>
          <w:color w:val="0070C0"/>
          <w:lang w:val="es-ES_tradnl"/>
        </w:rPr>
      </w:pPr>
      <w:r w:rsidRPr="00CD26BF">
        <w:rPr>
          <w:rFonts w:ascii="Arial" w:hAnsi="Arial" w:cs="Arial"/>
          <w:color w:val="0070C0"/>
          <w:lang w:val="es-ES_tradnl"/>
        </w:rPr>
        <w:t>Se valora el conjunto del proyecto,</w:t>
      </w:r>
      <w:r>
        <w:rPr>
          <w:rFonts w:ascii="Arial" w:hAnsi="Arial" w:cs="Arial"/>
          <w:color w:val="0070C0"/>
          <w:lang w:val="es-ES_tradnl"/>
        </w:rPr>
        <w:t xml:space="preserve"> dado que la valoración del proyecto es única para todos los participantes. S</w:t>
      </w:r>
      <w:r w:rsidRPr="00CD26BF">
        <w:rPr>
          <w:rFonts w:ascii="Arial" w:hAnsi="Arial" w:cs="Arial"/>
          <w:color w:val="0070C0"/>
          <w:lang w:val="es-ES_tradnl"/>
        </w:rPr>
        <w:t>e relacionan los formularios y se evalúa el total de horas para cada caso.</w:t>
      </w:r>
      <w:r>
        <w:rPr>
          <w:rFonts w:ascii="Arial" w:hAnsi="Arial" w:cs="Arial"/>
          <w:color w:val="0070C0"/>
          <w:lang w:val="es-ES_tradnl"/>
        </w:rPr>
        <w:t xml:space="preserve"> Si no se hiciese así, podría suceder que un socio tuviese nota para obtener ayuda y otro no.</w:t>
      </w:r>
    </w:p>
    <w:p w:rsidR="00F746C1" w:rsidRDefault="00F746C1" w:rsidP="00F746C1">
      <w:pPr>
        <w:jc w:val="both"/>
        <w:rPr>
          <w:rFonts w:ascii="Arial" w:hAnsi="Arial" w:cs="Arial"/>
          <w:lang w:val="es-ES_tradnl"/>
        </w:rPr>
      </w:pPr>
      <w:r>
        <w:rPr>
          <w:rFonts w:ascii="Arial" w:hAnsi="Arial" w:cs="Arial"/>
          <w:lang w:val="es-ES_tradnl"/>
        </w:rPr>
        <w:t xml:space="preserve">Base 10.1.j). </w:t>
      </w:r>
      <w:r w:rsidRPr="00057100">
        <w:rPr>
          <w:rFonts w:ascii="Arial" w:hAnsi="Arial" w:cs="Arial"/>
          <w:lang w:val="es-ES_tradnl"/>
        </w:rPr>
        <w:t xml:space="preserve">Personal doctorado en el equipo investigador. Se valora con hasta 3 puntos la </w:t>
      </w:r>
      <w:r w:rsidRPr="00CD26BF">
        <w:rPr>
          <w:rFonts w:ascii="Arial" w:hAnsi="Arial" w:cs="Arial"/>
          <w:u w:val="single"/>
          <w:lang w:val="es-ES_tradnl"/>
        </w:rPr>
        <w:t>dedicación horaria del personal doctorado sobre el total de horas del personal</w:t>
      </w:r>
      <w:r w:rsidRPr="00057100">
        <w:rPr>
          <w:rFonts w:ascii="Arial" w:hAnsi="Arial" w:cs="Arial"/>
          <w:lang w:val="es-ES_tradnl"/>
        </w:rPr>
        <w:t>:</w:t>
      </w:r>
      <w:r>
        <w:rPr>
          <w:rFonts w:ascii="Arial" w:hAnsi="Arial" w:cs="Arial"/>
          <w:lang w:val="es-ES_tradnl"/>
        </w:rPr>
        <w:t xml:space="preserve"> (ver tabla).</w:t>
      </w:r>
    </w:p>
    <w:p w:rsidR="00F746C1" w:rsidRDefault="00F746C1" w:rsidP="00F746C1">
      <w:pPr>
        <w:jc w:val="both"/>
        <w:rPr>
          <w:rFonts w:ascii="Arial" w:hAnsi="Arial" w:cs="Arial"/>
          <w:lang w:val="es-ES_tradnl"/>
        </w:rPr>
      </w:pPr>
      <w:r>
        <w:rPr>
          <w:rFonts w:ascii="Arial" w:hAnsi="Arial" w:cs="Arial"/>
          <w:lang w:val="es-ES_tradnl"/>
        </w:rPr>
        <w:t>Base 10.1.k). I</w:t>
      </w:r>
      <w:r w:rsidRPr="00CD26BF">
        <w:rPr>
          <w:rFonts w:ascii="Arial" w:hAnsi="Arial" w:cs="Arial"/>
          <w:lang w:val="es-ES_tradnl"/>
        </w:rPr>
        <w:t xml:space="preserve">gualdad de género en la I+D. Se valora con 3 puntos que la </w:t>
      </w:r>
      <w:r w:rsidRPr="00CD26BF">
        <w:rPr>
          <w:rFonts w:ascii="Arial" w:hAnsi="Arial" w:cs="Arial"/>
          <w:u w:val="single"/>
          <w:lang w:val="es-ES_tradnl"/>
        </w:rPr>
        <w:t>dedicación horaria de mujeres al proyecto</w:t>
      </w:r>
      <w:r w:rsidRPr="00CD26BF">
        <w:rPr>
          <w:rFonts w:ascii="Arial" w:hAnsi="Arial" w:cs="Arial"/>
          <w:lang w:val="es-ES_tradnl"/>
        </w:rPr>
        <w:t xml:space="preserve"> sea igual o superior al 50% del total de horas del personal.</w:t>
      </w:r>
    </w:p>
    <w:p w:rsidR="00F746C1" w:rsidRDefault="00F746C1" w:rsidP="00F746C1">
      <w:pPr>
        <w:jc w:val="both"/>
        <w:rPr>
          <w:rFonts w:ascii="Arial" w:hAnsi="Arial" w:cs="Arial"/>
          <w:lang w:val="es-ES_tradnl"/>
        </w:rPr>
      </w:pPr>
    </w:p>
    <w:p w:rsidR="00F746C1" w:rsidRPr="00592DC1" w:rsidRDefault="00F746C1" w:rsidP="00F746C1">
      <w:pPr>
        <w:jc w:val="both"/>
        <w:rPr>
          <w:rFonts w:ascii="Arial" w:hAnsi="Arial" w:cs="Arial"/>
          <w:b/>
          <w:lang w:val="es-ES_tradnl"/>
        </w:rPr>
      </w:pPr>
      <w:r w:rsidRPr="00592DC1">
        <w:rPr>
          <w:rFonts w:ascii="Arial" w:hAnsi="Arial" w:cs="Arial"/>
          <w:b/>
          <w:lang w:val="es-ES_tradnl"/>
        </w:rPr>
        <w:t>18. ¿Hay que presentar el informe favorable del DNSH certificado por una agencia del proyecto?</w:t>
      </w:r>
    </w:p>
    <w:p w:rsidR="00F746C1" w:rsidRPr="008E53B6" w:rsidRDefault="00F746C1" w:rsidP="00F746C1">
      <w:pPr>
        <w:jc w:val="both"/>
        <w:rPr>
          <w:rFonts w:ascii="Arial" w:hAnsi="Arial" w:cs="Arial"/>
          <w:color w:val="0070C0"/>
          <w:lang w:val="es-ES_tradnl"/>
        </w:rPr>
      </w:pPr>
      <w:r w:rsidRPr="00592DC1">
        <w:rPr>
          <w:rFonts w:ascii="Arial" w:hAnsi="Arial" w:cs="Arial"/>
          <w:color w:val="0070C0"/>
          <w:lang w:val="es-ES_tradnl"/>
        </w:rPr>
        <w:t>No, se firma con la declaración responsable, es decir con la solicitud telemática.</w:t>
      </w:r>
      <w:r>
        <w:rPr>
          <w:rFonts w:ascii="Arial" w:hAnsi="Arial" w:cs="Arial"/>
          <w:color w:val="0070C0"/>
          <w:lang w:val="es-ES_tradnl"/>
        </w:rPr>
        <w:t xml:space="preserve"> Se puede consultar la guía de la solicitud, disponible en la ficha.</w:t>
      </w:r>
    </w:p>
    <w:p w:rsidR="00F746C1" w:rsidRDefault="00F746C1" w:rsidP="00F746C1">
      <w:pPr>
        <w:jc w:val="both"/>
        <w:rPr>
          <w:rFonts w:ascii="Arial" w:hAnsi="Arial" w:cs="Arial"/>
          <w:lang w:val="es-ES_tradnl"/>
        </w:rPr>
      </w:pPr>
      <w:r>
        <w:rPr>
          <w:rFonts w:ascii="Arial" w:hAnsi="Arial" w:cs="Arial"/>
          <w:lang w:val="es-ES_tradnl"/>
        </w:rPr>
        <w:t xml:space="preserve">Base 2.2.d) </w:t>
      </w:r>
      <w:r w:rsidRPr="00592DC1">
        <w:rPr>
          <w:rFonts w:ascii="Arial" w:hAnsi="Arial" w:cs="Arial"/>
          <w:lang w:val="es-ES_tradnl"/>
        </w:rPr>
        <w:t xml:space="preserve">Que su </w:t>
      </w:r>
      <w:r w:rsidRPr="00380BDB">
        <w:rPr>
          <w:rFonts w:ascii="Arial" w:hAnsi="Arial" w:cs="Arial"/>
          <w:u w:val="single"/>
          <w:lang w:val="es-ES_tradnl"/>
        </w:rPr>
        <w:t>actividad económica no cause ningún perjuicio significativo a objetivos medioambientales</w:t>
      </w:r>
      <w:r w:rsidRPr="00592DC1">
        <w:rPr>
          <w:rFonts w:ascii="Arial" w:hAnsi="Arial" w:cs="Arial"/>
          <w:lang w:val="es-ES_tradnl"/>
        </w:rPr>
        <w:t xml:space="preserve"> de los señalados en el artículo 17 del Reglamento (UE) 2020/852 del Parlamento Europeo y del Consejo, de 18 de junio de 2020, relativo al </w:t>
      </w:r>
      <w:r w:rsidRPr="00592DC1">
        <w:rPr>
          <w:rFonts w:ascii="Arial" w:hAnsi="Arial" w:cs="Arial"/>
          <w:lang w:val="es-ES_tradnl"/>
        </w:rPr>
        <w:lastRenderedPageBreak/>
        <w:t>establecimiento de un marco para facilitar las inversiones sostenibles y por el que se modifica el Reglamento (UE) 2019/2088 (Reglamento de Taxonomía).</w:t>
      </w:r>
    </w:p>
    <w:p w:rsidR="00AE5D19" w:rsidRDefault="00AE5D19" w:rsidP="00F746C1">
      <w:pPr>
        <w:jc w:val="both"/>
        <w:rPr>
          <w:rFonts w:ascii="Arial" w:hAnsi="Arial" w:cs="Arial"/>
          <w:lang w:val="es-ES_tradnl"/>
        </w:rPr>
      </w:pPr>
      <w:bookmarkStart w:id="0" w:name="_GoBack"/>
    </w:p>
    <w:p w:rsidR="00AE5D19" w:rsidRPr="00AE5D19" w:rsidRDefault="00AE5D19" w:rsidP="00F746C1">
      <w:pPr>
        <w:jc w:val="both"/>
        <w:rPr>
          <w:rFonts w:ascii="Arial" w:hAnsi="Arial" w:cs="Arial"/>
          <w:b/>
          <w:lang w:val="es-ES_tradnl"/>
        </w:rPr>
      </w:pPr>
      <w:r w:rsidRPr="00AE5D19">
        <w:rPr>
          <w:rFonts w:ascii="Arial" w:hAnsi="Arial" w:cs="Arial"/>
          <w:b/>
          <w:lang w:val="es-ES_tradnl"/>
        </w:rPr>
        <w:t xml:space="preserve">19. </w:t>
      </w:r>
      <w:r w:rsidRPr="00AE5D19">
        <w:rPr>
          <w:rFonts w:ascii="Arial" w:hAnsi="Arial" w:cs="Arial"/>
          <w:b/>
          <w:color w:val="FF0000"/>
          <w:lang w:val="es-ES_tradnl"/>
        </w:rPr>
        <w:t>Consulta realizada posteriormente, no contestada en la reunión.</w:t>
      </w:r>
      <w:r w:rsidRPr="00AE5D19">
        <w:rPr>
          <w:rFonts w:ascii="Arial" w:hAnsi="Arial" w:cs="Arial"/>
          <w:b/>
          <w:lang w:val="es-ES_tradnl"/>
        </w:rPr>
        <w:t xml:space="preserve"> En el proceso de innovación previo, para obtener la "idea" o concepto innovador susceptible de las ayudas. No todas las empresas disponen ya del proyecto innovador y si podrían generarlo a través de una metodología de innovación. Si se diera el caso ¿Se podría incluir el acompañamiento de un consultor/a en este proceso?</w:t>
      </w:r>
    </w:p>
    <w:p w:rsidR="00AE5D19" w:rsidRPr="00AE5D19" w:rsidRDefault="00AE5D19" w:rsidP="00F746C1">
      <w:pPr>
        <w:jc w:val="both"/>
        <w:rPr>
          <w:rFonts w:ascii="Arial" w:hAnsi="Arial" w:cs="Arial"/>
          <w:color w:val="0070C0"/>
          <w:lang w:val="es-ES_tradnl"/>
        </w:rPr>
      </w:pPr>
      <w:r>
        <w:rPr>
          <w:rFonts w:ascii="Arial" w:hAnsi="Arial" w:cs="Arial"/>
          <w:color w:val="0070C0"/>
          <w:lang w:val="es-ES_tradnl"/>
        </w:rPr>
        <w:t>Los gastos realizados con anterioridad al inicio del proyecto, no son susceptibles de ayuda, únicamente en el caso de la consultora, pero para la presentación de la solicitud, no para participar en estudios previos</w:t>
      </w:r>
    </w:p>
    <w:p w:rsidR="00AE5D19" w:rsidRDefault="00AE5D19" w:rsidP="00F746C1">
      <w:pPr>
        <w:jc w:val="both"/>
        <w:rPr>
          <w:rFonts w:ascii="Arial" w:hAnsi="Arial" w:cs="Arial"/>
          <w:lang w:val="es-ES_tradnl"/>
        </w:rPr>
      </w:pPr>
    </w:p>
    <w:p w:rsidR="00AE5D19" w:rsidRDefault="00AE5D19" w:rsidP="00F746C1">
      <w:pPr>
        <w:jc w:val="both"/>
        <w:rPr>
          <w:rFonts w:ascii="Arial" w:hAnsi="Arial" w:cs="Arial"/>
          <w:lang w:val="es-ES_tradnl"/>
        </w:rPr>
      </w:pPr>
      <w:r>
        <w:rPr>
          <w:rFonts w:ascii="Arial" w:hAnsi="Arial" w:cs="Arial"/>
          <w:lang w:val="es-ES_tradnl"/>
        </w:rPr>
        <w:t xml:space="preserve">Base 5. </w:t>
      </w:r>
      <w:r w:rsidRPr="00AE5D19">
        <w:rPr>
          <w:rFonts w:ascii="Arial" w:hAnsi="Arial" w:cs="Arial"/>
          <w:lang w:val="es-ES_tradnl"/>
        </w:rPr>
        <w:t>De conformidad con lo dispuesto en el artículo 6 del RGEC, estas ayudas deben tener un efecto incentivador, por lo que no se subvencionarán aquellos proyectos que se inicien antes de presentar la solicitud de las ayudas.</w:t>
      </w:r>
    </w:p>
    <w:p w:rsidR="00AE5D19" w:rsidRDefault="00AE5D19" w:rsidP="00F746C1">
      <w:pPr>
        <w:jc w:val="both"/>
        <w:rPr>
          <w:rFonts w:ascii="Arial" w:hAnsi="Arial" w:cs="Arial"/>
          <w:u w:val="single"/>
          <w:lang w:val="es-ES_tradnl"/>
        </w:rPr>
      </w:pPr>
      <w:r w:rsidRPr="00AE5D19">
        <w:rPr>
          <w:rFonts w:ascii="Arial" w:hAnsi="Arial" w:cs="Arial"/>
          <w:lang w:val="es-ES_tradnl"/>
        </w:rPr>
        <w:t xml:space="preserve">A estos efectos, </w:t>
      </w:r>
      <w:r w:rsidRPr="00AE5D19">
        <w:rPr>
          <w:rFonts w:ascii="Arial" w:hAnsi="Arial" w:cs="Arial"/>
          <w:u w:val="single"/>
          <w:lang w:val="es-ES_tradnl"/>
        </w:rPr>
        <w:t>los trabajos que realice la consultora para la presentación de la solicitud de ayuda a que alude la base 4.2.1.g) no tendrán la consideración de “inicio de los trabajos”</w:t>
      </w:r>
      <w:r w:rsidRPr="00AE5D19">
        <w:rPr>
          <w:rFonts w:ascii="Arial" w:hAnsi="Arial" w:cs="Arial"/>
          <w:lang w:val="es-ES_tradnl"/>
        </w:rPr>
        <w:t xml:space="preserve"> conforme a la definición 2 del artículo 2 del RGEC. </w:t>
      </w:r>
      <w:r w:rsidRPr="00AE5D19">
        <w:rPr>
          <w:rFonts w:ascii="Arial" w:hAnsi="Arial" w:cs="Arial"/>
          <w:u w:val="single"/>
          <w:lang w:val="es-ES_tradnl"/>
        </w:rPr>
        <w:t>Igualmente, podrán realizarse estudios de viabilidad previos puesto que estos no son subvencionables.</w:t>
      </w:r>
    </w:p>
    <w:p w:rsidR="00AE5D19" w:rsidRDefault="00AE5D19" w:rsidP="00F746C1">
      <w:pPr>
        <w:jc w:val="both"/>
        <w:rPr>
          <w:rFonts w:ascii="Arial" w:hAnsi="Arial" w:cs="Arial"/>
          <w:u w:val="single"/>
          <w:lang w:val="es-ES_tradnl"/>
        </w:rPr>
      </w:pPr>
    </w:p>
    <w:p w:rsidR="00AE5D19" w:rsidRPr="00AE5D19" w:rsidRDefault="00AE5D19" w:rsidP="00AE5D19">
      <w:pPr>
        <w:jc w:val="both"/>
        <w:rPr>
          <w:rFonts w:ascii="Arial" w:hAnsi="Arial" w:cs="Arial"/>
          <w:lang w:val="es-ES_tradnl"/>
        </w:rPr>
      </w:pPr>
      <w:r w:rsidRPr="00AE5D19">
        <w:rPr>
          <w:rFonts w:ascii="Arial" w:hAnsi="Arial" w:cs="Arial"/>
          <w:lang w:val="es-ES_tradnl"/>
        </w:rPr>
        <w:t>Base 4.2.1.g). E</w:t>
      </w:r>
      <w:r w:rsidRPr="00AE5D19">
        <w:rPr>
          <w:rFonts w:ascii="Arial" w:hAnsi="Arial" w:cs="Arial"/>
          <w:lang w:val="es-ES_tradnl"/>
        </w:rPr>
        <w:t xml:space="preserve">l </w:t>
      </w:r>
      <w:r w:rsidRPr="00AE5D19">
        <w:rPr>
          <w:rFonts w:ascii="Arial" w:hAnsi="Arial" w:cs="Arial"/>
          <w:u w:val="single"/>
          <w:lang w:val="es-ES_tradnl"/>
        </w:rPr>
        <w:t>gasto de consultoría asociado a la preparación y presentación de la solicitud de ayuda</w:t>
      </w:r>
      <w:r w:rsidRPr="00AE5D19">
        <w:rPr>
          <w:rFonts w:ascii="Arial" w:hAnsi="Arial" w:cs="Arial"/>
          <w:lang w:val="es-ES_tradnl"/>
        </w:rPr>
        <w:t>, se subvencionará hasta un máximo de 1.500 euros en el caso de la coordinadora de los proyectos de colaboración entre empresas y de transferencia del conocimiento. En el caso de los proyectos individuales, únicamente si la empresa no ha solicitado nunca estas ayudas en convocatorias anteriores (del año 2016 a 2022).</w:t>
      </w:r>
      <w:bookmarkEnd w:id="0"/>
    </w:p>
    <w:sectPr w:rsidR="00AE5D19" w:rsidRPr="00AE5D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162"/>
    <w:multiLevelType w:val="hybridMultilevel"/>
    <w:tmpl w:val="D15E9B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C3755F"/>
    <w:multiLevelType w:val="hybridMultilevel"/>
    <w:tmpl w:val="39327AA6"/>
    <w:lvl w:ilvl="0" w:tplc="586E0F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87490"/>
    <w:multiLevelType w:val="hybridMultilevel"/>
    <w:tmpl w:val="110A02F0"/>
    <w:lvl w:ilvl="0" w:tplc="586E0F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D02660"/>
    <w:multiLevelType w:val="hybridMultilevel"/>
    <w:tmpl w:val="D8E0B2DA"/>
    <w:lvl w:ilvl="0" w:tplc="BCFEFEFE">
      <w:start w:val="8"/>
      <w:numFmt w:val="lowerLetter"/>
      <w:lvlText w:val="%1)"/>
      <w:lvlJc w:val="left"/>
      <w:pPr>
        <w:ind w:left="1506" w:hanging="360"/>
      </w:pPr>
      <w:rPr>
        <w:rFonts w:hint="default"/>
      </w:r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4" w15:restartNumberingAfterBreak="0">
    <w:nsid w:val="51526C35"/>
    <w:multiLevelType w:val="multilevel"/>
    <w:tmpl w:val="822EBF7E"/>
    <w:lvl w:ilvl="0">
      <w:start w:val="1"/>
      <w:numFmt w:val="bullet"/>
      <w:pStyle w:val="B5-"/>
      <w:lvlText w:val=""/>
      <w:lvlJc w:val="left"/>
      <w:pPr>
        <w:tabs>
          <w:tab w:val="num" w:pos="720"/>
        </w:tabs>
        <w:ind w:left="720" w:hanging="360"/>
      </w:pPr>
      <w:rPr>
        <w:rFonts w:ascii="Symbol" w:hAnsi="Symbol" w:hint="default"/>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6D60423E"/>
    <w:multiLevelType w:val="hybridMultilevel"/>
    <w:tmpl w:val="EBF83F28"/>
    <w:lvl w:ilvl="0" w:tplc="586E0F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5C61015"/>
    <w:multiLevelType w:val="hybridMultilevel"/>
    <w:tmpl w:val="3EC8FA22"/>
    <w:lvl w:ilvl="0" w:tplc="DF3452D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C627B8"/>
    <w:multiLevelType w:val="multilevel"/>
    <w:tmpl w:val="3BEA0FBA"/>
    <w:lvl w:ilvl="0">
      <w:start w:val="1"/>
      <w:numFmt w:val="decimal"/>
      <w:pStyle w:val="B"/>
      <w:lvlText w:val="Base %1."/>
      <w:lvlJc w:val="left"/>
      <w:pPr>
        <w:tabs>
          <w:tab w:val="num" w:pos="360"/>
        </w:tabs>
        <w:ind w:left="360" w:hanging="360"/>
      </w:pPr>
      <w:rPr>
        <w:rFonts w:ascii="Arial" w:hAnsi="Arial" w:hint="default"/>
        <w:b/>
        <w:i w:val="0"/>
        <w:sz w:val="22"/>
      </w:rPr>
    </w:lvl>
    <w:lvl w:ilvl="1">
      <w:start w:val="1"/>
      <w:numFmt w:val="decimal"/>
      <w:pStyle w:val="B21"/>
      <w:lvlText w:val="%2."/>
      <w:lvlJc w:val="left"/>
      <w:pPr>
        <w:tabs>
          <w:tab w:val="num" w:pos="1080"/>
        </w:tabs>
        <w:ind w:left="1080" w:hanging="360"/>
      </w:pPr>
      <w:rPr>
        <w:rFonts w:hint="default"/>
        <w:b w:val="0"/>
        <w:i w:val="0"/>
        <w:sz w:val="22"/>
      </w:rPr>
    </w:lvl>
    <w:lvl w:ilvl="2">
      <w:start w:val="1"/>
      <w:numFmt w:val="decimal"/>
      <w:pStyle w:val="B311"/>
      <w:lvlText w:val="%2.%3."/>
      <w:lvlJc w:val="right"/>
      <w:pPr>
        <w:tabs>
          <w:tab w:val="num" w:pos="1800"/>
        </w:tabs>
        <w:ind w:left="1800" w:hanging="180"/>
      </w:pPr>
      <w:rPr>
        <w:rFonts w:hint="default"/>
      </w:rPr>
    </w:lvl>
    <w:lvl w:ilvl="3">
      <w:start w:val="1"/>
      <w:numFmt w:val="lowerLetter"/>
      <w:pStyle w:val="B4a"/>
      <w:lvlText w:val="%4) "/>
      <w:lvlJc w:val="left"/>
      <w:pPr>
        <w:tabs>
          <w:tab w:val="num" w:pos="2520"/>
        </w:tabs>
        <w:ind w:left="2520" w:hanging="360"/>
      </w:pPr>
      <w:rPr>
        <w:rFonts w:hint="default"/>
      </w:rPr>
    </w:lvl>
    <w:lvl w:ilvl="4">
      <w:start w:val="1"/>
      <w:numFmt w:val="decimal"/>
      <w:pStyle w:val="B6"/>
      <w:lvlText w:val="%5. "/>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7"/>
  </w:num>
  <w:num w:numId="2">
    <w:abstractNumId w:val="7"/>
  </w:num>
  <w:num w:numId="3">
    <w:abstractNumId w:val="7"/>
  </w:num>
  <w:num w:numId="4">
    <w:abstractNumId w:val="7"/>
  </w:num>
  <w:num w:numId="5">
    <w:abstractNumId w:val="4"/>
  </w:num>
  <w:num w:numId="6">
    <w:abstractNumId w:val="7"/>
  </w:num>
  <w:num w:numId="7">
    <w:abstractNumId w:val="7"/>
  </w:num>
  <w:num w:numId="8">
    <w:abstractNumId w:val="7"/>
  </w:num>
  <w:num w:numId="9">
    <w:abstractNumId w:val="7"/>
  </w:num>
  <w:num w:numId="10">
    <w:abstractNumId w:val="4"/>
  </w:num>
  <w:num w:numId="11">
    <w:abstractNumId w:val="7"/>
  </w:num>
  <w:num w:numId="12">
    <w:abstractNumId w:val="7"/>
  </w:num>
  <w:num w:numId="13">
    <w:abstractNumId w:val="7"/>
  </w:num>
  <w:num w:numId="14">
    <w:abstractNumId w:val="0"/>
  </w:num>
  <w:num w:numId="15">
    <w:abstractNumId w:val="2"/>
  </w:num>
  <w:num w:numId="16">
    <w:abstractNumId w:val="1"/>
  </w:num>
  <w:num w:numId="17">
    <w:abstractNumId w:val="5"/>
  </w:num>
  <w:num w:numId="18">
    <w:abstractNumId w:val="3"/>
  </w:num>
  <w:num w:numId="19">
    <w:abstractNumId w:val="7"/>
  </w:num>
  <w:num w:numId="20">
    <w:abstractNumId w:val="7"/>
  </w:num>
  <w:num w:numId="21">
    <w:abstractNumId w:val="7"/>
  </w:num>
  <w:num w:numId="22">
    <w:abstractNumId w:val="7"/>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47"/>
    <w:rsid w:val="0006496D"/>
    <w:rsid w:val="00091D78"/>
    <w:rsid w:val="00097B0C"/>
    <w:rsid w:val="00126740"/>
    <w:rsid w:val="0016181C"/>
    <w:rsid w:val="00195826"/>
    <w:rsid w:val="001C54AC"/>
    <w:rsid w:val="001D0D81"/>
    <w:rsid w:val="00284F68"/>
    <w:rsid w:val="002A3A84"/>
    <w:rsid w:val="002C6C36"/>
    <w:rsid w:val="00306B01"/>
    <w:rsid w:val="00336254"/>
    <w:rsid w:val="00380BDB"/>
    <w:rsid w:val="003A79BA"/>
    <w:rsid w:val="003D6AB0"/>
    <w:rsid w:val="003E0799"/>
    <w:rsid w:val="003E1622"/>
    <w:rsid w:val="003F5DEC"/>
    <w:rsid w:val="004148AF"/>
    <w:rsid w:val="004202C2"/>
    <w:rsid w:val="00500E0C"/>
    <w:rsid w:val="00502814"/>
    <w:rsid w:val="00582385"/>
    <w:rsid w:val="005A4ECF"/>
    <w:rsid w:val="005F70B3"/>
    <w:rsid w:val="0061590B"/>
    <w:rsid w:val="006503B3"/>
    <w:rsid w:val="00650EF4"/>
    <w:rsid w:val="007A0BA1"/>
    <w:rsid w:val="00802292"/>
    <w:rsid w:val="0081622E"/>
    <w:rsid w:val="008257A4"/>
    <w:rsid w:val="00873A14"/>
    <w:rsid w:val="008E1CDB"/>
    <w:rsid w:val="008E1F9E"/>
    <w:rsid w:val="00995947"/>
    <w:rsid w:val="009B0F3B"/>
    <w:rsid w:val="009C7DE7"/>
    <w:rsid w:val="00A3364C"/>
    <w:rsid w:val="00A818BB"/>
    <w:rsid w:val="00AC6D46"/>
    <w:rsid w:val="00AE5D19"/>
    <w:rsid w:val="00AF38F1"/>
    <w:rsid w:val="00B628A1"/>
    <w:rsid w:val="00B97B61"/>
    <w:rsid w:val="00BB2A4D"/>
    <w:rsid w:val="00BC3CE5"/>
    <w:rsid w:val="00C15DB8"/>
    <w:rsid w:val="00C205C1"/>
    <w:rsid w:val="00C45E32"/>
    <w:rsid w:val="00C76511"/>
    <w:rsid w:val="00C84B97"/>
    <w:rsid w:val="00CE0FC3"/>
    <w:rsid w:val="00D17927"/>
    <w:rsid w:val="00D206ED"/>
    <w:rsid w:val="00D26CCB"/>
    <w:rsid w:val="00D4203D"/>
    <w:rsid w:val="00D53299"/>
    <w:rsid w:val="00D67431"/>
    <w:rsid w:val="00DB4A90"/>
    <w:rsid w:val="00E31D85"/>
    <w:rsid w:val="00E579E6"/>
    <w:rsid w:val="00EB3C39"/>
    <w:rsid w:val="00F26100"/>
    <w:rsid w:val="00F746C1"/>
    <w:rsid w:val="00FA6B2C"/>
    <w:rsid w:val="00FB0AF6"/>
    <w:rsid w:val="00FC29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92043"/>
  <w15:chartTrackingRefBased/>
  <w15:docId w15:val="{B05C58D9-31E9-4E63-BAAF-146B0739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B0C"/>
  </w:style>
  <w:style w:type="paragraph" w:styleId="Ttulo1">
    <w:name w:val="heading 1"/>
    <w:basedOn w:val="Normal"/>
    <w:next w:val="Normal"/>
    <w:link w:val="Ttulo1Car"/>
    <w:uiPriority w:val="9"/>
    <w:qFormat/>
    <w:rsid w:val="00097B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link w:val="Ttulo5Car"/>
    <w:uiPriority w:val="9"/>
    <w:qFormat/>
    <w:rsid w:val="00097B0C"/>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
    <w:name w:val="articulo"/>
    <w:basedOn w:val="Normal"/>
    <w:uiPriority w:val="99"/>
    <w:rsid w:val="00097B0C"/>
    <w:pPr>
      <w:spacing w:line="360" w:lineRule="auto"/>
      <w:jc w:val="both"/>
    </w:pPr>
    <w:rPr>
      <w:rFonts w:ascii="Arial" w:hAnsi="Arial" w:cs="Arial"/>
      <w:b/>
      <w:sz w:val="20"/>
    </w:rPr>
  </w:style>
  <w:style w:type="paragraph" w:customStyle="1" w:styleId="xl2">
    <w:name w:val="xl2"/>
    <w:basedOn w:val="Normal"/>
    <w:uiPriority w:val="99"/>
    <w:rsid w:val="00097B0C"/>
    <w:pPr>
      <w:spacing w:before="100" w:beforeAutospacing="1" w:after="100" w:afterAutospacing="1"/>
    </w:pPr>
  </w:style>
  <w:style w:type="paragraph" w:customStyle="1" w:styleId="xl1">
    <w:name w:val="xl1"/>
    <w:basedOn w:val="Normal"/>
    <w:rsid w:val="00097B0C"/>
    <w:pPr>
      <w:spacing w:before="100" w:beforeAutospacing="1" w:after="100" w:afterAutospacing="1"/>
    </w:pPr>
  </w:style>
  <w:style w:type="paragraph" w:customStyle="1" w:styleId="parrafo">
    <w:name w:val="parrafo"/>
    <w:basedOn w:val="Normal"/>
    <w:rsid w:val="00097B0C"/>
    <w:pPr>
      <w:spacing w:before="100" w:beforeAutospacing="1" w:after="100" w:afterAutospacing="1"/>
    </w:pPr>
  </w:style>
  <w:style w:type="paragraph" w:customStyle="1" w:styleId="parrafo2">
    <w:name w:val="parrafo_2"/>
    <w:basedOn w:val="Normal"/>
    <w:rsid w:val="00097B0C"/>
    <w:pPr>
      <w:spacing w:before="100" w:beforeAutospacing="1" w:after="100" w:afterAutospacing="1"/>
    </w:pPr>
  </w:style>
  <w:style w:type="paragraph" w:customStyle="1" w:styleId="Basestitulo">
    <w:name w:val="Bases titulo"/>
    <w:basedOn w:val="Normal"/>
    <w:link w:val="BasestituloCar"/>
    <w:qFormat/>
    <w:rsid w:val="00097B0C"/>
    <w:pPr>
      <w:jc w:val="center"/>
      <w:outlineLvl w:val="0"/>
    </w:pPr>
    <w:rPr>
      <w:rFonts w:ascii="Arial" w:hAnsi="Arial" w:cs="Arial"/>
      <w:lang w:val="pt-BR"/>
    </w:rPr>
  </w:style>
  <w:style w:type="character" w:customStyle="1" w:styleId="BasestituloCar">
    <w:name w:val="Bases titulo Car"/>
    <w:basedOn w:val="Fuentedeprrafopredeter"/>
    <w:link w:val="Basestitulo"/>
    <w:rsid w:val="00097B0C"/>
    <w:rPr>
      <w:rFonts w:ascii="Arial" w:hAnsi="Arial" w:cs="Arial"/>
      <w:sz w:val="22"/>
      <w:szCs w:val="22"/>
      <w:lang w:val="pt-BR"/>
    </w:rPr>
  </w:style>
  <w:style w:type="paragraph" w:customStyle="1" w:styleId="B">
    <w:name w:val="B"/>
    <w:basedOn w:val="Normal"/>
    <w:link w:val="BCar"/>
    <w:qFormat/>
    <w:rsid w:val="00D4203D"/>
    <w:pPr>
      <w:numPr>
        <w:numId w:val="13"/>
      </w:numPr>
      <w:tabs>
        <w:tab w:val="left" w:pos="851"/>
        <w:tab w:val="left" w:pos="992"/>
      </w:tabs>
      <w:spacing w:before="240" w:after="100" w:afterAutospacing="1"/>
      <w:jc w:val="both"/>
      <w:outlineLvl w:val="0"/>
    </w:pPr>
    <w:rPr>
      <w:rFonts w:ascii="Arial" w:hAnsi="Arial" w:cs="Arial"/>
      <w:b/>
    </w:rPr>
  </w:style>
  <w:style w:type="character" w:customStyle="1" w:styleId="BCar">
    <w:name w:val="B Car"/>
    <w:basedOn w:val="Fuentedeprrafopredeter"/>
    <w:link w:val="B"/>
    <w:rsid w:val="00097B0C"/>
    <w:rPr>
      <w:rFonts w:ascii="Arial" w:hAnsi="Arial" w:cs="Arial"/>
      <w:b/>
      <w:sz w:val="22"/>
      <w:szCs w:val="22"/>
    </w:rPr>
  </w:style>
  <w:style w:type="paragraph" w:customStyle="1" w:styleId="Bsin">
    <w:name w:val="B sin"/>
    <w:basedOn w:val="Normal"/>
    <w:link w:val="BsinCar"/>
    <w:qFormat/>
    <w:rsid w:val="00097B0C"/>
    <w:pPr>
      <w:jc w:val="both"/>
    </w:pPr>
    <w:rPr>
      <w:rFonts w:ascii="Arial" w:hAnsi="Arial" w:cs="Arial"/>
    </w:rPr>
  </w:style>
  <w:style w:type="character" w:customStyle="1" w:styleId="BsinCar">
    <w:name w:val="B sin Car"/>
    <w:basedOn w:val="Fuentedeprrafopredeter"/>
    <w:link w:val="Bsin"/>
    <w:rsid w:val="00097B0C"/>
    <w:rPr>
      <w:rFonts w:ascii="Arial" w:hAnsi="Arial" w:cs="Arial"/>
      <w:sz w:val="22"/>
      <w:szCs w:val="22"/>
    </w:rPr>
  </w:style>
  <w:style w:type="paragraph" w:customStyle="1" w:styleId="B21">
    <w:name w:val="B2 1"/>
    <w:basedOn w:val="Prrafodelista"/>
    <w:link w:val="B21Car"/>
    <w:qFormat/>
    <w:rsid w:val="00D4203D"/>
    <w:pPr>
      <w:numPr>
        <w:ilvl w:val="1"/>
        <w:numId w:val="13"/>
      </w:numPr>
      <w:spacing w:after="240" w:line="240" w:lineRule="auto"/>
      <w:jc w:val="both"/>
    </w:pPr>
    <w:rPr>
      <w:rFonts w:ascii="Arial" w:hAnsi="Arial" w:cs="Arial"/>
      <w:sz w:val="24"/>
      <w:szCs w:val="24"/>
    </w:rPr>
  </w:style>
  <w:style w:type="character" w:customStyle="1" w:styleId="B21Car">
    <w:name w:val="B2 1 Car"/>
    <w:basedOn w:val="PrrafodelistaCar"/>
    <w:link w:val="B21"/>
    <w:rsid w:val="00097B0C"/>
    <w:rPr>
      <w:rFonts w:ascii="Arial" w:hAnsi="Arial" w:cs="Arial"/>
      <w:sz w:val="24"/>
      <w:szCs w:val="24"/>
    </w:rPr>
  </w:style>
  <w:style w:type="paragraph" w:styleId="Prrafodelista">
    <w:name w:val="List Paragraph"/>
    <w:basedOn w:val="Normal"/>
    <w:link w:val="PrrafodelistaCar"/>
    <w:qFormat/>
    <w:rsid w:val="00097B0C"/>
    <w:pPr>
      <w:ind w:left="720"/>
      <w:contextualSpacing/>
    </w:pPr>
  </w:style>
  <w:style w:type="paragraph" w:customStyle="1" w:styleId="B4a">
    <w:name w:val="B4 a"/>
    <w:basedOn w:val="Normal"/>
    <w:link w:val="B4aCar"/>
    <w:qFormat/>
    <w:rsid w:val="00D4203D"/>
    <w:pPr>
      <w:widowControl w:val="0"/>
      <w:numPr>
        <w:ilvl w:val="3"/>
        <w:numId w:val="13"/>
      </w:numPr>
      <w:spacing w:after="100" w:afterAutospacing="1"/>
      <w:jc w:val="both"/>
    </w:pPr>
    <w:rPr>
      <w:rFonts w:ascii="Arial" w:hAnsi="Arial" w:cs="Arial"/>
    </w:rPr>
  </w:style>
  <w:style w:type="character" w:customStyle="1" w:styleId="B4aCar">
    <w:name w:val="B4 a Car"/>
    <w:basedOn w:val="Fuentedeprrafopredeter"/>
    <w:link w:val="B4a"/>
    <w:rsid w:val="00097B0C"/>
    <w:rPr>
      <w:rFonts w:ascii="Arial" w:hAnsi="Arial" w:cs="Arial"/>
      <w:sz w:val="22"/>
      <w:szCs w:val="22"/>
    </w:rPr>
  </w:style>
  <w:style w:type="paragraph" w:customStyle="1" w:styleId="B4sin">
    <w:name w:val="B4 sin"/>
    <w:basedOn w:val="Normal"/>
    <w:link w:val="B4sinCar"/>
    <w:qFormat/>
    <w:rsid w:val="00097B0C"/>
    <w:pPr>
      <w:widowControl w:val="0"/>
      <w:ind w:left="709"/>
      <w:jc w:val="both"/>
    </w:pPr>
    <w:rPr>
      <w:rFonts w:ascii="Arial" w:hAnsi="Arial" w:cs="Arial"/>
    </w:rPr>
  </w:style>
  <w:style w:type="character" w:customStyle="1" w:styleId="B4sinCar">
    <w:name w:val="B4 sin Car"/>
    <w:basedOn w:val="Fuentedeprrafopredeter"/>
    <w:link w:val="B4sin"/>
    <w:rsid w:val="00097B0C"/>
    <w:rPr>
      <w:rFonts w:ascii="Arial" w:hAnsi="Arial" w:cs="Arial"/>
      <w:sz w:val="22"/>
      <w:szCs w:val="22"/>
    </w:rPr>
  </w:style>
  <w:style w:type="paragraph" w:customStyle="1" w:styleId="B4-">
    <w:name w:val="B4 -"/>
    <w:basedOn w:val="Normal"/>
    <w:qFormat/>
    <w:rsid w:val="00097B0C"/>
    <w:pPr>
      <w:jc w:val="both"/>
    </w:pPr>
    <w:rPr>
      <w:rFonts w:ascii="Arial" w:hAnsi="Arial" w:cs="Arial"/>
    </w:rPr>
  </w:style>
  <w:style w:type="paragraph" w:customStyle="1" w:styleId="B2sin">
    <w:name w:val="B2 sin"/>
    <w:basedOn w:val="Normal"/>
    <w:qFormat/>
    <w:rsid w:val="00097B0C"/>
    <w:pPr>
      <w:ind w:left="360"/>
    </w:pPr>
    <w:rPr>
      <w:rFonts w:ascii="Arial" w:hAnsi="Arial" w:cs="Arial"/>
    </w:rPr>
  </w:style>
  <w:style w:type="paragraph" w:customStyle="1" w:styleId="B311">
    <w:name w:val="B3 1.1"/>
    <w:basedOn w:val="Normal"/>
    <w:qFormat/>
    <w:rsid w:val="00D4203D"/>
    <w:pPr>
      <w:numPr>
        <w:ilvl w:val="2"/>
        <w:numId w:val="13"/>
      </w:numPr>
      <w:spacing w:after="240" w:line="240" w:lineRule="auto"/>
      <w:jc w:val="both"/>
    </w:pPr>
    <w:rPr>
      <w:rFonts w:ascii="Arial" w:hAnsi="Arial" w:cs="Arial"/>
    </w:rPr>
  </w:style>
  <w:style w:type="paragraph" w:customStyle="1" w:styleId="B5-">
    <w:name w:val="B5 -"/>
    <w:basedOn w:val="Normal"/>
    <w:qFormat/>
    <w:rsid w:val="00097B0C"/>
    <w:pPr>
      <w:numPr>
        <w:numId w:val="10"/>
      </w:numPr>
      <w:jc w:val="both"/>
    </w:pPr>
    <w:rPr>
      <w:rFonts w:ascii="Arial" w:hAnsi="Arial" w:cs="Arial"/>
    </w:rPr>
  </w:style>
  <w:style w:type="character" w:customStyle="1" w:styleId="Ttulo1Car">
    <w:name w:val="Título 1 Car"/>
    <w:basedOn w:val="Fuentedeprrafopredeter"/>
    <w:link w:val="Ttulo1"/>
    <w:uiPriority w:val="9"/>
    <w:rsid w:val="00097B0C"/>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rsid w:val="00097B0C"/>
    <w:rPr>
      <w:b/>
      <w:bCs/>
    </w:rPr>
  </w:style>
  <w:style w:type="paragraph" w:styleId="TDC1">
    <w:name w:val="toc 1"/>
    <w:basedOn w:val="Normal"/>
    <w:next w:val="Normal"/>
    <w:autoRedefine/>
    <w:uiPriority w:val="39"/>
    <w:unhideWhenUsed/>
    <w:rsid w:val="00097B0C"/>
    <w:pPr>
      <w:spacing w:after="100"/>
    </w:pPr>
    <w:rPr>
      <w:rFonts w:ascii="Arial" w:hAnsi="Arial"/>
    </w:rPr>
  </w:style>
  <w:style w:type="paragraph" w:styleId="TDC2">
    <w:name w:val="toc 2"/>
    <w:basedOn w:val="Normal"/>
    <w:next w:val="Normal"/>
    <w:autoRedefine/>
    <w:uiPriority w:val="39"/>
    <w:unhideWhenUsed/>
    <w:rsid w:val="00097B0C"/>
    <w:pPr>
      <w:spacing w:after="100"/>
      <w:ind w:left="220"/>
    </w:pPr>
    <w:rPr>
      <w:rFonts w:asciiTheme="minorHAnsi" w:eastAsiaTheme="minorEastAsia" w:hAnsiTheme="minorHAnsi"/>
    </w:rPr>
  </w:style>
  <w:style w:type="paragraph" w:styleId="TDC3">
    <w:name w:val="toc 3"/>
    <w:basedOn w:val="Normal"/>
    <w:next w:val="Normal"/>
    <w:autoRedefine/>
    <w:uiPriority w:val="39"/>
    <w:unhideWhenUsed/>
    <w:rsid w:val="00097B0C"/>
    <w:pPr>
      <w:spacing w:after="100"/>
      <w:ind w:left="440"/>
    </w:pPr>
    <w:rPr>
      <w:rFonts w:asciiTheme="minorHAnsi" w:eastAsiaTheme="minorEastAsia" w:hAnsiTheme="minorHAnsi"/>
    </w:rPr>
  </w:style>
  <w:style w:type="paragraph" w:styleId="Textocomentario">
    <w:name w:val="annotation text"/>
    <w:basedOn w:val="Normal"/>
    <w:link w:val="TextocomentarioCar"/>
    <w:uiPriority w:val="99"/>
    <w:rsid w:val="00097B0C"/>
    <w:rPr>
      <w:sz w:val="20"/>
      <w:szCs w:val="20"/>
    </w:rPr>
  </w:style>
  <w:style w:type="character" w:customStyle="1" w:styleId="TextocomentarioCar">
    <w:name w:val="Texto comentario Car"/>
    <w:basedOn w:val="Fuentedeprrafopredeter"/>
    <w:link w:val="Textocomentario"/>
    <w:uiPriority w:val="99"/>
    <w:rsid w:val="00097B0C"/>
  </w:style>
  <w:style w:type="paragraph" w:styleId="Encabezado">
    <w:name w:val="header"/>
    <w:basedOn w:val="Normal"/>
    <w:link w:val="EncabezadoCar"/>
    <w:uiPriority w:val="99"/>
    <w:rsid w:val="00097B0C"/>
    <w:pPr>
      <w:tabs>
        <w:tab w:val="center" w:pos="4252"/>
        <w:tab w:val="right" w:pos="8504"/>
      </w:tabs>
    </w:pPr>
  </w:style>
  <w:style w:type="character" w:customStyle="1" w:styleId="EncabezadoCar">
    <w:name w:val="Encabezado Car"/>
    <w:basedOn w:val="Fuentedeprrafopredeter"/>
    <w:link w:val="Encabezado"/>
    <w:uiPriority w:val="99"/>
    <w:rsid w:val="00097B0C"/>
    <w:rPr>
      <w:sz w:val="24"/>
      <w:szCs w:val="24"/>
    </w:rPr>
  </w:style>
  <w:style w:type="paragraph" w:styleId="Piedepgina">
    <w:name w:val="footer"/>
    <w:basedOn w:val="Normal"/>
    <w:link w:val="PiedepginaCar"/>
    <w:uiPriority w:val="99"/>
    <w:rsid w:val="00097B0C"/>
    <w:pPr>
      <w:tabs>
        <w:tab w:val="center" w:pos="4252"/>
        <w:tab w:val="right" w:pos="8504"/>
      </w:tabs>
    </w:pPr>
  </w:style>
  <w:style w:type="character" w:customStyle="1" w:styleId="PiedepginaCar">
    <w:name w:val="Pie de página Car"/>
    <w:basedOn w:val="Fuentedeprrafopredeter"/>
    <w:link w:val="Piedepgina"/>
    <w:uiPriority w:val="99"/>
    <w:rsid w:val="00097B0C"/>
    <w:rPr>
      <w:sz w:val="24"/>
      <w:szCs w:val="24"/>
    </w:rPr>
  </w:style>
  <w:style w:type="character" w:styleId="Refdecomentario">
    <w:name w:val="annotation reference"/>
    <w:basedOn w:val="Fuentedeprrafopredeter"/>
    <w:uiPriority w:val="99"/>
    <w:rsid w:val="00097B0C"/>
    <w:rPr>
      <w:rFonts w:cs="Times New Roman"/>
      <w:sz w:val="16"/>
    </w:rPr>
  </w:style>
  <w:style w:type="paragraph" w:styleId="Textoindependiente2">
    <w:name w:val="Body Text 2"/>
    <w:basedOn w:val="Normal"/>
    <w:link w:val="Textoindependiente2Car"/>
    <w:rsid w:val="00097B0C"/>
    <w:pPr>
      <w:spacing w:after="120" w:line="480" w:lineRule="auto"/>
      <w:jc w:val="both"/>
    </w:pPr>
    <w:rPr>
      <w:rFonts w:ascii="Arial" w:hAnsi="Arial"/>
    </w:rPr>
  </w:style>
  <w:style w:type="character" w:customStyle="1" w:styleId="Textoindependiente2Car">
    <w:name w:val="Texto independiente 2 Car"/>
    <w:basedOn w:val="Fuentedeprrafopredeter"/>
    <w:link w:val="Textoindependiente2"/>
    <w:rsid w:val="00097B0C"/>
    <w:rPr>
      <w:rFonts w:ascii="Arial" w:hAnsi="Arial"/>
      <w:sz w:val="22"/>
      <w:szCs w:val="24"/>
    </w:rPr>
  </w:style>
  <w:style w:type="character" w:styleId="Hipervnculo">
    <w:name w:val="Hyperlink"/>
    <w:basedOn w:val="Fuentedeprrafopredeter"/>
    <w:uiPriority w:val="99"/>
    <w:rsid w:val="00097B0C"/>
    <w:rPr>
      <w:rFonts w:cs="Times New Roman"/>
      <w:color w:val="0563C1"/>
      <w:u w:val="single"/>
    </w:rPr>
  </w:style>
  <w:style w:type="character" w:styleId="Hipervnculovisitado">
    <w:name w:val="FollowedHyperlink"/>
    <w:basedOn w:val="Fuentedeprrafopredeter"/>
    <w:uiPriority w:val="99"/>
    <w:rsid w:val="00097B0C"/>
    <w:rPr>
      <w:rFonts w:cs="Times New Roman"/>
      <w:color w:val="954F72"/>
      <w:u w:val="single"/>
    </w:rPr>
  </w:style>
  <w:style w:type="paragraph" w:styleId="NormalWeb">
    <w:name w:val="Normal (Web)"/>
    <w:basedOn w:val="Normal"/>
    <w:uiPriority w:val="99"/>
    <w:unhideWhenUsed/>
    <w:rsid w:val="00097B0C"/>
    <w:pPr>
      <w:spacing w:before="100" w:beforeAutospacing="1" w:after="100" w:afterAutospacing="1"/>
    </w:pPr>
  </w:style>
  <w:style w:type="paragraph" w:styleId="Asuntodelcomentario">
    <w:name w:val="annotation subject"/>
    <w:basedOn w:val="Textocomentario"/>
    <w:next w:val="Textocomentario"/>
    <w:link w:val="AsuntodelcomentarioCar"/>
    <w:uiPriority w:val="99"/>
    <w:rsid w:val="00097B0C"/>
    <w:rPr>
      <w:b/>
      <w:bCs/>
    </w:rPr>
  </w:style>
  <w:style w:type="character" w:customStyle="1" w:styleId="AsuntodelcomentarioCar">
    <w:name w:val="Asunto del comentario Car"/>
    <w:basedOn w:val="TextocomentarioCar"/>
    <w:link w:val="Asuntodelcomentario"/>
    <w:uiPriority w:val="99"/>
    <w:rsid w:val="00097B0C"/>
    <w:rPr>
      <w:b/>
      <w:bCs/>
    </w:rPr>
  </w:style>
  <w:style w:type="paragraph" w:styleId="Textodeglobo">
    <w:name w:val="Balloon Text"/>
    <w:basedOn w:val="Normal"/>
    <w:link w:val="TextodegloboCar"/>
    <w:uiPriority w:val="99"/>
    <w:rsid w:val="00097B0C"/>
    <w:rPr>
      <w:rFonts w:ascii="Segoe UI" w:hAnsi="Segoe UI" w:cs="Segoe UI"/>
      <w:sz w:val="18"/>
      <w:szCs w:val="18"/>
    </w:rPr>
  </w:style>
  <w:style w:type="character" w:customStyle="1" w:styleId="TextodegloboCar">
    <w:name w:val="Texto de globo Car"/>
    <w:basedOn w:val="Fuentedeprrafopredeter"/>
    <w:link w:val="Textodeglobo"/>
    <w:uiPriority w:val="99"/>
    <w:rsid w:val="00097B0C"/>
    <w:rPr>
      <w:rFonts w:ascii="Segoe UI" w:hAnsi="Segoe UI" w:cs="Segoe UI"/>
      <w:sz w:val="18"/>
      <w:szCs w:val="18"/>
    </w:rPr>
  </w:style>
  <w:style w:type="table" w:styleId="Tablaconcuadrcula">
    <w:name w:val="Table Grid"/>
    <w:basedOn w:val="Tablanormal"/>
    <w:uiPriority w:val="99"/>
    <w:rsid w:val="0009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97B0C"/>
    <w:rPr>
      <w:color w:val="808080"/>
    </w:rPr>
  </w:style>
  <w:style w:type="character" w:customStyle="1" w:styleId="PrrafodelistaCar">
    <w:name w:val="Párrafo de lista Car"/>
    <w:basedOn w:val="Fuentedeprrafopredeter"/>
    <w:link w:val="Prrafodelista"/>
    <w:rsid w:val="00097B0C"/>
    <w:rPr>
      <w:sz w:val="24"/>
      <w:szCs w:val="24"/>
    </w:rPr>
  </w:style>
  <w:style w:type="paragraph" w:styleId="TtuloTDC">
    <w:name w:val="TOC Heading"/>
    <w:basedOn w:val="Ttulo1"/>
    <w:next w:val="Normal"/>
    <w:uiPriority w:val="39"/>
    <w:unhideWhenUsed/>
    <w:qFormat/>
    <w:rsid w:val="00097B0C"/>
    <w:pPr>
      <w:outlineLvl w:val="9"/>
    </w:pPr>
  </w:style>
  <w:style w:type="paragraph" w:customStyle="1" w:styleId="B6">
    <w:name w:val="B6"/>
    <w:basedOn w:val="Prrafodelista"/>
    <w:qFormat/>
    <w:rsid w:val="00D4203D"/>
    <w:pPr>
      <w:numPr>
        <w:ilvl w:val="4"/>
        <w:numId w:val="13"/>
      </w:numPr>
      <w:spacing w:after="240" w:line="240" w:lineRule="auto"/>
      <w:contextualSpacing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17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hu.redsara.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5561</TotalTime>
  <Pages>11</Pages>
  <Words>3342</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x028778</dc:creator>
  <cp:keywords/>
  <dc:description/>
  <cp:lastModifiedBy>X028778</cp:lastModifiedBy>
  <cp:revision>40</cp:revision>
  <dcterms:created xsi:type="dcterms:W3CDTF">2023-05-29T09:52:00Z</dcterms:created>
  <dcterms:modified xsi:type="dcterms:W3CDTF">2023-07-05T07:55:00Z</dcterms:modified>
</cp:coreProperties>
</file>