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465" w:rsidRPr="004F5465" w:rsidRDefault="004F5465" w:rsidP="004F546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F5465">
        <w:rPr>
          <w:rFonts w:ascii="Arial" w:hAnsi="Arial" w:cs="Arial"/>
          <w:b/>
          <w:sz w:val="24"/>
          <w:szCs w:val="24"/>
          <w:u w:val="single"/>
        </w:rPr>
        <w:t>CUENTA DE PÉRDIDAS Y GANANCIAS ABREVIADA</w:t>
      </w:r>
    </w:p>
    <w:p w:rsidR="004F5465" w:rsidRDefault="004F5465" w:rsidP="004F5465">
      <w:pPr>
        <w:jc w:val="both"/>
      </w:pPr>
    </w:p>
    <w:p w:rsidR="004F5465" w:rsidRPr="004F5465" w:rsidRDefault="004F5465" w:rsidP="004F5465">
      <w:pPr>
        <w:jc w:val="both"/>
        <w:rPr>
          <w:rFonts w:ascii="Arial" w:hAnsi="Arial" w:cs="Arial"/>
          <w:sz w:val="24"/>
          <w:szCs w:val="24"/>
        </w:rPr>
      </w:pPr>
      <w:r w:rsidRPr="004F5465">
        <w:rPr>
          <w:rFonts w:ascii="Arial" w:hAnsi="Arial" w:cs="Arial"/>
          <w:sz w:val="24"/>
          <w:szCs w:val="24"/>
        </w:rPr>
        <w:t>Podrán presentar la cuenta de pérdidas y ganancias abreviada las sociedades que reúnan a la fecha de cierre de cada uno de los dos ejercicios</w:t>
      </w:r>
      <w:r w:rsidR="001B228B">
        <w:rPr>
          <w:rFonts w:ascii="Arial" w:hAnsi="Arial" w:cs="Arial"/>
          <w:sz w:val="24"/>
          <w:szCs w:val="24"/>
        </w:rPr>
        <w:t xml:space="preserve"> </w:t>
      </w:r>
      <w:r w:rsidRPr="004F5465">
        <w:rPr>
          <w:rFonts w:ascii="Arial" w:hAnsi="Arial" w:cs="Arial"/>
          <w:sz w:val="24"/>
          <w:szCs w:val="24"/>
        </w:rPr>
        <w:t>al menos dos de las siguientes circunstancias:</w:t>
      </w:r>
    </w:p>
    <w:p w:rsidR="004F5465" w:rsidRDefault="004F5465" w:rsidP="004F546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F5465">
        <w:rPr>
          <w:rFonts w:ascii="Arial" w:hAnsi="Arial" w:cs="Arial"/>
          <w:sz w:val="24"/>
          <w:szCs w:val="24"/>
        </w:rPr>
        <w:t xml:space="preserve">Que el total de las partidas de activo no supere los 11.400.000 </w:t>
      </w:r>
      <w:bookmarkStart w:id="0" w:name="_GoBack"/>
      <w:bookmarkEnd w:id="0"/>
      <w:r w:rsidRPr="004F5465">
        <w:rPr>
          <w:rFonts w:ascii="Arial" w:hAnsi="Arial" w:cs="Arial"/>
          <w:sz w:val="24"/>
          <w:szCs w:val="24"/>
        </w:rPr>
        <w:t>euros.</w:t>
      </w:r>
    </w:p>
    <w:p w:rsidR="004F5465" w:rsidRPr="004F5465" w:rsidRDefault="004F5465" w:rsidP="004F546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F5465">
        <w:rPr>
          <w:rFonts w:ascii="Arial" w:hAnsi="Arial" w:cs="Arial"/>
          <w:sz w:val="24"/>
          <w:szCs w:val="24"/>
        </w:rPr>
        <w:t>Que el importe neto de su cifra anual de negocios no supere los 22.850.000 euros.</w:t>
      </w:r>
    </w:p>
    <w:p w:rsidR="006964A8" w:rsidRPr="004F5465" w:rsidRDefault="004F5465" w:rsidP="004F546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F5465">
        <w:rPr>
          <w:rFonts w:ascii="Arial" w:hAnsi="Arial" w:cs="Arial"/>
          <w:sz w:val="24"/>
          <w:szCs w:val="24"/>
        </w:rPr>
        <w:t>Que el número medio de trabajadores empleados durante el ejercicio no sea superior a 250.</w:t>
      </w:r>
    </w:p>
    <w:sectPr w:rsidR="006964A8" w:rsidRPr="004F54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24A61"/>
    <w:multiLevelType w:val="hybridMultilevel"/>
    <w:tmpl w:val="40F0A7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EFF"/>
    <w:rsid w:val="001B228B"/>
    <w:rsid w:val="004F5465"/>
    <w:rsid w:val="0059346E"/>
    <w:rsid w:val="00885EFF"/>
    <w:rsid w:val="008B14D9"/>
    <w:rsid w:val="00C9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300E"/>
  <w15:chartTrackingRefBased/>
  <w15:docId w15:val="{35FF9CA9-6E2F-4167-A40B-034EC65B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5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N221655</dc:creator>
  <cp:keywords/>
  <dc:description/>
  <cp:lastModifiedBy>N221655</cp:lastModifiedBy>
  <cp:revision>3</cp:revision>
  <dcterms:created xsi:type="dcterms:W3CDTF">2022-12-01T08:13:00Z</dcterms:created>
  <dcterms:modified xsi:type="dcterms:W3CDTF">2022-12-01T09:35:00Z</dcterms:modified>
</cp:coreProperties>
</file>