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EF" w:rsidRPr="00610D47" w:rsidRDefault="00A247EF" w:rsidP="00A247EF">
      <w:pPr>
        <w:ind w:left="720"/>
        <w:jc w:val="both"/>
        <w:rPr>
          <w:b/>
          <w:bCs/>
          <w:sz w:val="24"/>
          <w:szCs w:val="24"/>
          <w:lang w:val="es-ES_tradnl" w:eastAsia="es-ES"/>
        </w:rPr>
      </w:pPr>
      <w:r w:rsidRPr="00610D47">
        <w:rPr>
          <w:b/>
          <w:bCs/>
          <w:sz w:val="24"/>
          <w:szCs w:val="24"/>
          <w:lang w:val="es-ES_tradnl" w:eastAsia="es-ES"/>
        </w:rPr>
        <w:t>DOCUMENTO INFORMATIVO</w:t>
      </w:r>
    </w:p>
    <w:p w:rsidR="00610D47" w:rsidRDefault="00610D47" w:rsidP="00A247EF">
      <w:pPr>
        <w:ind w:left="720"/>
        <w:jc w:val="both"/>
        <w:rPr>
          <w:b/>
          <w:bCs/>
          <w:lang w:val="es-ES_tradnl" w:eastAsia="es-ES"/>
        </w:rPr>
      </w:pPr>
    </w:p>
    <w:p w:rsidR="00610D47" w:rsidRPr="00610D47" w:rsidRDefault="00610D47" w:rsidP="00610D47">
      <w:pPr>
        <w:jc w:val="both"/>
        <w:rPr>
          <w:b/>
          <w:bCs/>
          <w:lang w:val="es-ES_tradnl" w:eastAsia="es-ES"/>
        </w:rPr>
      </w:pPr>
      <w:r w:rsidRPr="00610D47">
        <w:rPr>
          <w:b/>
          <w:bCs/>
          <w:lang w:val="es-ES_tradnl" w:eastAsia="es-ES"/>
        </w:rPr>
        <w:t>Tras la concesión de la convocatoria 2023 de ayudas a la agricultura de precisión se elabora este documento, advirtiendo que carece de v</w:t>
      </w:r>
      <w:r>
        <w:rPr>
          <w:b/>
          <w:bCs/>
          <w:lang w:val="es-ES_tradnl" w:eastAsia="es-ES"/>
        </w:rPr>
        <w:t>alor legal y que su objeto es solamente informativo, con el objeto de intentar aclarar</w:t>
      </w:r>
      <w:r w:rsidR="000710FD">
        <w:rPr>
          <w:b/>
          <w:bCs/>
          <w:lang w:val="es-ES_tradnl" w:eastAsia="es-ES"/>
        </w:rPr>
        <w:t>, de manera genérica,</w:t>
      </w:r>
      <w:r>
        <w:rPr>
          <w:b/>
          <w:bCs/>
          <w:lang w:val="es-ES_tradnl" w:eastAsia="es-ES"/>
        </w:rPr>
        <w:t xml:space="preserve"> algunas cuestiones y dudas planteadas.</w:t>
      </w:r>
    </w:p>
    <w:p w:rsidR="00A247EF" w:rsidRDefault="00A247EF" w:rsidP="00610D47">
      <w:pPr>
        <w:ind w:left="720"/>
        <w:jc w:val="both"/>
        <w:rPr>
          <w:b/>
          <w:bCs/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b/>
          <w:bCs/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b/>
          <w:bCs/>
          <w:lang w:val="es-ES_tradnl" w:eastAsia="es-ES"/>
        </w:rPr>
        <w:t>RENUNCIA TOTAL A LA AYUDA CONCEDIDA</w:t>
      </w:r>
      <w:r>
        <w:rPr>
          <w:lang w:val="es-ES_tradnl" w:eastAsia="es-ES"/>
        </w:rPr>
        <w:t xml:space="preserve">: </w:t>
      </w:r>
    </w:p>
    <w:p w:rsidR="00610D47" w:rsidRDefault="00610D47" w:rsidP="00A247EF">
      <w:pPr>
        <w:ind w:left="720"/>
        <w:jc w:val="both"/>
        <w:rPr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lang w:val="es-ES_tradnl" w:eastAsia="es-ES"/>
        </w:rPr>
        <w:t>En el caso en el que la beneficiaria desee renunciar al expediente concedido, puede hacerlo con anterioridad a la fecha de pago y dentro del plazo para la finalización de las inversiones que es 31/01/2025. (RESOLUCIÓN 354E/2022, Base 12, apartado3). No tiene ninguna penalización.</w:t>
      </w:r>
    </w:p>
    <w:p w:rsidR="00A247EF" w:rsidRDefault="00A247EF" w:rsidP="00A247EF">
      <w:pPr>
        <w:ind w:left="720"/>
        <w:jc w:val="both"/>
        <w:rPr>
          <w:lang w:val="es-ES_tradnl" w:eastAsia="es-ES"/>
        </w:rPr>
      </w:pPr>
      <w:bookmarkStart w:id="0" w:name="_GoBack"/>
      <w:bookmarkEnd w:id="0"/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lang w:val="es-ES_tradnl" w:eastAsia="es-ES"/>
        </w:rPr>
        <w:t xml:space="preserve">Si este fuera el caso, </w:t>
      </w:r>
      <w:r>
        <w:rPr>
          <w:b/>
          <w:bCs/>
          <w:lang w:val="es-ES_tradnl" w:eastAsia="es-ES"/>
        </w:rPr>
        <w:t>se agradecería que se hiciera lo antes posible</w:t>
      </w:r>
      <w:r>
        <w:rPr>
          <w:lang w:val="es-ES_tradnl" w:eastAsia="es-ES"/>
        </w:rPr>
        <w:t xml:space="preserve">, ya que, según la base 10.8, en el caso en el que algunas personas renunciasen total o parcialmente a la ayuda, en el plazo de dos meses posteriores a la fecha de concesión, se acordará la concesión conforme a la lista de personas desestimadas por insuficiencia presupuestaria. Es decir, esto permitiría poder conceder otros expedientes que no han obtenido ayuda. </w:t>
      </w:r>
    </w:p>
    <w:p w:rsidR="00A247EF" w:rsidRDefault="00A247EF" w:rsidP="00A247EF">
      <w:pPr>
        <w:ind w:left="720"/>
        <w:jc w:val="both"/>
        <w:rPr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b/>
          <w:bCs/>
          <w:lang w:val="es-ES_tradnl" w:eastAsia="es-ES"/>
        </w:rPr>
      </w:pPr>
      <w:r>
        <w:rPr>
          <w:b/>
          <w:bCs/>
          <w:lang w:val="es-ES_tradnl" w:eastAsia="es-ES"/>
        </w:rPr>
        <w:t xml:space="preserve">MODIFICACIONES: </w:t>
      </w:r>
    </w:p>
    <w:p w:rsidR="00A247EF" w:rsidRDefault="00A247EF" w:rsidP="00A247EF">
      <w:pPr>
        <w:ind w:left="720"/>
        <w:jc w:val="both"/>
        <w:rPr>
          <w:b/>
          <w:bCs/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lang w:val="es-ES_tradnl" w:eastAsia="es-ES"/>
        </w:rPr>
        <w:t xml:space="preserve">De manera genérica, pueden presentarse conforme a la base Base 11.-Modificación de la concesión. No hay establecido en las bases ni procedimiento, ni plazo. Por lo tanto, nos iríamos a procedimiento administrativo, por lo que, en primer lugar, se deberá presentar una solicitud de modificación. Esta solicitud se presentará, en todo caso, con anterioridad a la adquisición de los nuevos bienes y/o compromisos y con anterioridad a la fecha de finalización de inversiones.  La solicitud será una instancia general, enviada a través del registro electrónico, en la que se incluirá la descripción de la modificación solicitada y la documentación necesaria, dependiendo del tipo de modificación. Las modificaciones deben ser analizadas como si fueran nuevas concesiones, por lo que, dependiendo de lo solicitado, podrían ser </w:t>
      </w:r>
      <w:r>
        <w:rPr>
          <w:b/>
          <w:bCs/>
          <w:lang w:val="es-ES_tradnl" w:eastAsia="es-ES"/>
        </w:rPr>
        <w:t>NO aprobadas</w:t>
      </w:r>
      <w:r>
        <w:rPr>
          <w:lang w:val="es-ES_tradnl" w:eastAsia="es-ES"/>
        </w:rPr>
        <w:t xml:space="preserve">. </w:t>
      </w:r>
    </w:p>
    <w:p w:rsidR="004041D8" w:rsidRDefault="004041D8" w:rsidP="00A247EF">
      <w:pPr>
        <w:ind w:left="720"/>
        <w:jc w:val="both"/>
        <w:rPr>
          <w:lang w:val="es-ES_tradnl" w:eastAsia="es-ES"/>
        </w:rPr>
      </w:pPr>
    </w:p>
    <w:p w:rsidR="00A247EF" w:rsidRDefault="00A247EF" w:rsidP="00A247EF">
      <w:pPr>
        <w:numPr>
          <w:ilvl w:val="0"/>
          <w:numId w:val="1"/>
        </w:numPr>
        <w:jc w:val="both"/>
        <w:rPr>
          <w:lang w:val="es-ES_tradnl" w:eastAsia="es-ES"/>
        </w:rPr>
      </w:pPr>
      <w:r>
        <w:rPr>
          <w:b/>
          <w:bCs/>
          <w:lang w:val="es-ES_tradnl" w:eastAsia="es-ES"/>
        </w:rPr>
        <w:t>RENUNCIA PARCIAL POR NO EJECUCIÓN DE INVERSIONES:</w:t>
      </w:r>
      <w:r>
        <w:rPr>
          <w:lang w:val="es-ES_tradnl" w:eastAsia="es-ES"/>
        </w:rPr>
        <w:t xml:space="preserve"> </w:t>
      </w:r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lang w:val="es-ES_tradnl" w:eastAsia="es-ES"/>
        </w:rPr>
        <w:t xml:space="preserve">En este caso lo que se pretende es la no ejecución de alguna de las inversiones solicitadas y concedidas. Aquí se tendría en cuenta el apartado 2, Base 14, que supondría la pérdida de toda </w:t>
      </w:r>
      <w:r>
        <w:rPr>
          <w:lang w:val="es-ES_tradnl" w:eastAsia="es-ES"/>
        </w:rPr>
        <w:lastRenderedPageBreak/>
        <w:t xml:space="preserve">la ayuda </w:t>
      </w:r>
      <w:r w:rsidRPr="004041D8">
        <w:rPr>
          <w:u w:val="single"/>
          <w:lang w:val="es-ES_tradnl" w:eastAsia="es-ES"/>
        </w:rPr>
        <w:t>solo</w:t>
      </w:r>
      <w:r>
        <w:rPr>
          <w:lang w:val="es-ES_tradnl" w:eastAsia="es-ES"/>
        </w:rPr>
        <w:t xml:space="preserve"> en el caso de que supusiera una pérdida de puntuación por equipo solicitado (Base 5. Apartado 1, a), tercer guion) que hubiera supuesto la exclusión como beneficiaria; el resto de situaciones no conllevarían penalización alguna.</w:t>
      </w:r>
    </w:p>
    <w:p w:rsidR="00A247EF" w:rsidRDefault="00A247EF" w:rsidP="00A247EF">
      <w:pPr>
        <w:ind w:left="720"/>
        <w:jc w:val="both"/>
        <w:rPr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lang w:val="es-ES_tradnl" w:eastAsia="es-ES"/>
        </w:rPr>
        <w:t xml:space="preserve">Al igual que el caso anterior, si esta es la idea, según la base 10.8, </w:t>
      </w:r>
      <w:r w:rsidR="004041D8">
        <w:rPr>
          <w:lang w:val="es-ES_tradnl" w:eastAsia="es-ES"/>
        </w:rPr>
        <w:t>se podría</w:t>
      </w:r>
      <w:r>
        <w:rPr>
          <w:lang w:val="es-ES_tradnl" w:eastAsia="es-ES"/>
        </w:rPr>
        <w:t xml:space="preserve"> utilizar el importe al que se renuncia. </w:t>
      </w:r>
    </w:p>
    <w:p w:rsidR="00A247EF" w:rsidRDefault="00A247EF" w:rsidP="00A247EF">
      <w:pPr>
        <w:jc w:val="both"/>
        <w:rPr>
          <w:lang w:val="es-ES_tradnl" w:eastAsia="es-ES"/>
        </w:rPr>
      </w:pPr>
    </w:p>
    <w:p w:rsidR="00A247EF" w:rsidRDefault="00A247EF" w:rsidP="00A247EF">
      <w:pPr>
        <w:numPr>
          <w:ilvl w:val="0"/>
          <w:numId w:val="1"/>
        </w:numPr>
        <w:jc w:val="both"/>
        <w:rPr>
          <w:lang w:val="es-ES_tradnl" w:eastAsia="es-ES"/>
        </w:rPr>
      </w:pPr>
      <w:r>
        <w:rPr>
          <w:b/>
          <w:bCs/>
          <w:lang w:val="es-ES_tradnl" w:eastAsia="es-ES"/>
        </w:rPr>
        <w:t>MODIFICACIÓN DE INVERSIONES CONCEDIDAS</w:t>
      </w:r>
      <w:r>
        <w:rPr>
          <w:lang w:val="es-ES_tradnl" w:eastAsia="es-ES"/>
        </w:rPr>
        <w:t xml:space="preserve">: </w:t>
      </w:r>
    </w:p>
    <w:p w:rsidR="00A247EF" w:rsidRDefault="00A247EF" w:rsidP="00A247EF">
      <w:pPr>
        <w:ind w:left="720"/>
        <w:jc w:val="both"/>
        <w:rPr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lang w:val="es-ES_tradnl" w:eastAsia="es-ES"/>
        </w:rPr>
        <w:t xml:space="preserve">Se entenderá que se debe presentar una modificación de concesión cuando lo que se quiera modificar sea el </w:t>
      </w:r>
      <w:r w:rsidRPr="00A247EF">
        <w:rPr>
          <w:b/>
          <w:lang w:val="es-ES_tradnl" w:eastAsia="es-ES"/>
        </w:rPr>
        <w:t>tipo de m</w:t>
      </w:r>
      <w:r w:rsidR="00903FA1">
        <w:rPr>
          <w:b/>
          <w:lang w:val="es-ES_tradnl" w:eastAsia="es-ES"/>
        </w:rPr>
        <w:t>á</w:t>
      </w:r>
      <w:r w:rsidRPr="00A247EF">
        <w:rPr>
          <w:b/>
          <w:lang w:val="es-ES_tradnl" w:eastAsia="es-ES"/>
        </w:rPr>
        <w:t>quina</w:t>
      </w:r>
      <w:r>
        <w:rPr>
          <w:lang w:val="es-ES_tradnl" w:eastAsia="es-ES"/>
        </w:rPr>
        <w:t xml:space="preserve"> o cuando manteniendo el mismo tipo de máquina, se modifiquen los </w:t>
      </w:r>
      <w:r w:rsidRPr="00A247EF">
        <w:rPr>
          <w:b/>
          <w:lang w:val="es-ES_tradnl" w:eastAsia="es-ES"/>
        </w:rPr>
        <w:t>elementos de precisión</w:t>
      </w:r>
      <w:r>
        <w:rPr>
          <w:lang w:val="es-ES_tradnl" w:eastAsia="es-ES"/>
        </w:rPr>
        <w:t xml:space="preserve"> que incluye. </w:t>
      </w:r>
    </w:p>
    <w:p w:rsidR="00A247EF" w:rsidRDefault="00A247EF" w:rsidP="00A247EF">
      <w:pPr>
        <w:ind w:left="720"/>
        <w:jc w:val="both"/>
        <w:rPr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lang w:val="es-ES_tradnl" w:eastAsia="es-ES"/>
        </w:rPr>
        <w:t xml:space="preserve">En estos casos, junto con la instancia registrada, se presentará la justificación técnica que avale la modificación y toda la documentación presentada para cada máquina y/o elementos de precisión como si se hubiese hecho en concesión inicial (compatibilidad, memoria, proforma…). La modificación deberá ser aprobada por el órgano gestor. </w:t>
      </w:r>
    </w:p>
    <w:p w:rsidR="00A247EF" w:rsidRDefault="00A247EF" w:rsidP="00A247EF">
      <w:pPr>
        <w:ind w:left="720"/>
        <w:jc w:val="both"/>
        <w:rPr>
          <w:lang w:val="es-ES_tradnl" w:eastAsia="es-ES"/>
        </w:rPr>
      </w:pPr>
    </w:p>
    <w:p w:rsidR="00A247EF" w:rsidRDefault="00A247EF" w:rsidP="00A247EF">
      <w:pPr>
        <w:ind w:left="720"/>
        <w:jc w:val="both"/>
        <w:rPr>
          <w:lang w:val="es-ES_tradnl" w:eastAsia="es-ES"/>
        </w:rPr>
      </w:pPr>
      <w:r>
        <w:rPr>
          <w:lang w:val="es-ES_tradnl" w:eastAsia="es-ES"/>
        </w:rPr>
        <w:t xml:space="preserve">Ante cualquier caso de modificación de la inversión concedida, en la que exista alguna duda sobre la necesidad o no de comunicación, lo aconsejable será presentar instancia telemática con la documentación que se indica en el párrafo anterior, que será valorada por el órgano gestor. </w:t>
      </w:r>
    </w:p>
    <w:p w:rsidR="00A247EF" w:rsidRDefault="00A247EF" w:rsidP="00A247EF">
      <w:pPr>
        <w:ind w:left="720"/>
        <w:jc w:val="both"/>
        <w:rPr>
          <w:lang w:val="es-ES_tradnl" w:eastAsia="es-ES"/>
        </w:rPr>
      </w:pPr>
    </w:p>
    <w:p w:rsidR="00A247EF" w:rsidRPr="00A247EF" w:rsidRDefault="00A247EF" w:rsidP="00A247EF">
      <w:pPr>
        <w:ind w:left="720"/>
        <w:jc w:val="both"/>
        <w:rPr>
          <w:b/>
          <w:bCs/>
          <w:lang w:val="es-ES_tradnl" w:eastAsia="es-ES"/>
        </w:rPr>
      </w:pPr>
      <w:r>
        <w:rPr>
          <w:b/>
          <w:bCs/>
          <w:lang w:val="es-ES_tradnl" w:eastAsia="es-ES"/>
        </w:rPr>
        <w:t>COMPATIBILIDAD</w:t>
      </w:r>
      <w:r w:rsidRPr="00A247EF">
        <w:rPr>
          <w:b/>
          <w:bCs/>
          <w:lang w:val="es-ES_tradnl" w:eastAsia="es-ES"/>
        </w:rPr>
        <w:t xml:space="preserve">: </w:t>
      </w:r>
    </w:p>
    <w:p w:rsidR="00A247EF" w:rsidRPr="00A247EF" w:rsidRDefault="00A247EF" w:rsidP="00A247EF">
      <w:pPr>
        <w:ind w:left="720"/>
        <w:jc w:val="both"/>
        <w:rPr>
          <w:bCs/>
          <w:lang w:val="es-ES_tradnl" w:eastAsia="es-ES"/>
        </w:rPr>
      </w:pPr>
      <w:r w:rsidRPr="00A247EF">
        <w:rPr>
          <w:bCs/>
          <w:lang w:val="es-ES_tradnl" w:eastAsia="es-ES"/>
        </w:rPr>
        <w:t xml:space="preserve">A nivel general, la incompatibilidad o ajuste de las ayudas en dos líneas, va a depender de las fechas de la concesión de las mismas. La primera que se conceda marcará el procedimiento a seguir. Por lo tanto, </w:t>
      </w:r>
      <w:r>
        <w:rPr>
          <w:bCs/>
          <w:lang w:val="es-ES_tradnl" w:eastAsia="es-ES"/>
        </w:rPr>
        <w:t xml:space="preserve">y como ejemplo, </w:t>
      </w:r>
      <w:r w:rsidRPr="00A247EF">
        <w:rPr>
          <w:bCs/>
          <w:lang w:val="es-ES_tradnl" w:eastAsia="es-ES"/>
        </w:rPr>
        <w:t>en el caso de ayudas a inversiones (convocatoria 2023), no se podrán conceder ayudas a máquinas que ya están concedidas en MRR2023.</w:t>
      </w:r>
    </w:p>
    <w:p w:rsidR="00A247EF" w:rsidRPr="00A247EF" w:rsidRDefault="00A247EF" w:rsidP="00A247EF">
      <w:pPr>
        <w:ind w:left="720"/>
        <w:jc w:val="both"/>
        <w:rPr>
          <w:bCs/>
          <w:lang w:val="es-ES_tradnl" w:eastAsia="es-ES"/>
        </w:rPr>
      </w:pPr>
    </w:p>
    <w:p w:rsidR="00A247EF" w:rsidRPr="00A247EF" w:rsidRDefault="00A247EF" w:rsidP="00A247EF">
      <w:pPr>
        <w:ind w:left="720"/>
        <w:jc w:val="both"/>
        <w:rPr>
          <w:bCs/>
          <w:lang w:val="es-ES_tradnl" w:eastAsia="es-ES"/>
        </w:rPr>
      </w:pPr>
      <w:r w:rsidRPr="00A247EF">
        <w:rPr>
          <w:bCs/>
          <w:lang w:val="es-ES_tradnl" w:eastAsia="es-ES"/>
        </w:rPr>
        <w:t xml:space="preserve">En el caso de otras ayudas, como las RENOVE, lo que </w:t>
      </w:r>
      <w:r w:rsidR="004041D8">
        <w:rPr>
          <w:bCs/>
          <w:lang w:val="es-ES_tradnl" w:eastAsia="es-ES"/>
        </w:rPr>
        <w:t>recoge</w:t>
      </w:r>
      <w:r w:rsidRPr="00A247EF">
        <w:rPr>
          <w:bCs/>
          <w:lang w:val="es-ES_tradnl" w:eastAsia="es-ES"/>
        </w:rPr>
        <w:t xml:space="preserve"> el real decreto es que se ajustarán los importes. El procedimiento será el mismo, es decir, si existen máquinas que ya tienen concedida una ayuda, sea MRR o de inversiones, le aplicarán la limitación que indica el Real decreto. </w:t>
      </w:r>
    </w:p>
    <w:p w:rsidR="00A247EF" w:rsidRDefault="00A247EF" w:rsidP="00A247EF">
      <w:pPr>
        <w:ind w:left="720"/>
        <w:jc w:val="both"/>
        <w:rPr>
          <w:color w:val="1F497D"/>
          <w:lang w:val="es-ES_tradnl" w:eastAsia="es-ES"/>
        </w:rPr>
      </w:pPr>
      <w:r>
        <w:rPr>
          <w:color w:val="1F497D"/>
          <w:lang w:val="es-ES_tradnl" w:eastAsia="es-ES"/>
        </w:rPr>
        <w:t> </w:t>
      </w:r>
    </w:p>
    <w:p w:rsidR="00A247EF" w:rsidRDefault="00A247EF" w:rsidP="00A247E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Real Decreto 1055/2021, de 30 de noviembre, por el que se establecen las bases reguladoras para la concesión directa de las subvenciones estatales para la renovación del parque nacional de maquinaria agraria, establece que: Artículo 14. Concurrencia de subvenciones.</w:t>
      </w:r>
    </w:p>
    <w:p w:rsidR="00A247EF" w:rsidRDefault="00A247EF" w:rsidP="00A247E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1. Las subvenciones reguladas en este real decreto serán </w:t>
      </w:r>
      <w:r>
        <w:rPr>
          <w:b/>
          <w:bCs/>
          <w:i/>
          <w:iCs/>
          <w:sz w:val="20"/>
          <w:szCs w:val="20"/>
        </w:rPr>
        <w:t>compatibles</w:t>
      </w:r>
      <w:r>
        <w:rPr>
          <w:i/>
          <w:iCs/>
          <w:sz w:val="20"/>
          <w:szCs w:val="20"/>
        </w:rPr>
        <w:t xml:space="preserve"> con otras subvenciones, ayudas, ingresos o recursos para la misma finalidad, procedentes de cualesquiera administraciones o entes públicos o privados, nacionales, de la Unión Europea o de organismos internacionales. Serán compatibles en todo caso con otras ayudas o subvenciones que pudieran establecer las comunidades autónomas para la misma finalidad.</w:t>
      </w:r>
    </w:p>
    <w:p w:rsidR="00A247EF" w:rsidRDefault="00A247EF" w:rsidP="00A247E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2. En el caso de concurrencia de ayudas o subvenciones de otras Administraciones públicas o entes públicos o privados, el importe total de las ayudas o subvenciones que se concedan </w:t>
      </w:r>
      <w:r>
        <w:rPr>
          <w:b/>
          <w:bCs/>
          <w:i/>
          <w:iCs/>
          <w:sz w:val="20"/>
          <w:szCs w:val="20"/>
        </w:rPr>
        <w:t>no podrá superar</w:t>
      </w:r>
      <w:r>
        <w:rPr>
          <w:i/>
          <w:iCs/>
          <w:sz w:val="20"/>
          <w:szCs w:val="20"/>
        </w:rPr>
        <w:t>, en ningún caso, el 50 % del importe del tractor o máquina adquirido si se trata de medianas empresas, o el 60 % en el caso de pequeñas empresas y microempresas, en función del concepto de las mismas previsto en el anexo I del Reglamento (UE) n.º 651/2014 de la Comisión, de 17 de junio de 2014.</w:t>
      </w:r>
    </w:p>
    <w:p w:rsidR="00A247EF" w:rsidRDefault="00A247EF" w:rsidP="00A247EF">
      <w:pPr>
        <w:jc w:val="both"/>
        <w:rPr>
          <w:color w:val="1F497D"/>
          <w:lang w:val="es-ES_tradnl" w:eastAsia="es-ES"/>
        </w:rPr>
      </w:pPr>
      <w:r>
        <w:rPr>
          <w:b/>
          <w:bCs/>
          <w:i/>
          <w:iCs/>
          <w:sz w:val="20"/>
          <w:szCs w:val="20"/>
        </w:rPr>
        <w:t>3. En caso de superarse, la cuantía de la subvención estatal regulada en este real decreto se minorará para ajustarse a dichos límites</w:t>
      </w:r>
      <w:r>
        <w:rPr>
          <w:i/>
          <w:iCs/>
          <w:sz w:val="20"/>
          <w:szCs w:val="20"/>
        </w:rPr>
        <w:t>.</w:t>
      </w:r>
    </w:p>
    <w:p w:rsidR="00A247EF" w:rsidRDefault="00A247EF" w:rsidP="00A247EF">
      <w:pPr>
        <w:jc w:val="both"/>
        <w:rPr>
          <w:color w:val="1F497D"/>
          <w:lang w:val="es-ES_tradnl" w:eastAsia="es-ES"/>
        </w:rPr>
      </w:pPr>
    </w:p>
    <w:p w:rsidR="00A247EF" w:rsidRDefault="00073C4E" w:rsidP="00A247EF">
      <w:pPr>
        <w:jc w:val="both"/>
      </w:pPr>
      <w:hyperlink r:id="rId7" w:history="1">
        <w:r w:rsidR="00A247EF">
          <w:rPr>
            <w:rStyle w:val="Hipervnculo"/>
            <w:lang w:val="es-ES_tradnl"/>
          </w:rPr>
          <w:t>https://www.mapa.gob.es/es/agricultura/temas/medios-de-produccion/maquinaria-agricola/ayudas/ayudas_renovacion_de_maquinaria/default.aspx</w:t>
        </w:r>
      </w:hyperlink>
    </w:p>
    <w:p w:rsidR="006D02A9" w:rsidRDefault="006D02A9" w:rsidP="00A247EF">
      <w:pPr>
        <w:jc w:val="both"/>
      </w:pPr>
    </w:p>
    <w:sectPr w:rsidR="006D02A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4E" w:rsidRDefault="00073C4E" w:rsidP="00610D47">
      <w:r>
        <w:separator/>
      </w:r>
    </w:p>
  </w:endnote>
  <w:endnote w:type="continuationSeparator" w:id="0">
    <w:p w:rsidR="00073C4E" w:rsidRDefault="00073C4E" w:rsidP="0061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4E" w:rsidRDefault="00073C4E" w:rsidP="00610D47">
      <w:r>
        <w:separator/>
      </w:r>
    </w:p>
  </w:footnote>
  <w:footnote w:type="continuationSeparator" w:id="0">
    <w:p w:rsidR="00073C4E" w:rsidRDefault="00073C4E" w:rsidP="0061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ayout w:type="fixed"/>
      <w:tblLook w:val="04A0" w:firstRow="1" w:lastRow="0" w:firstColumn="1" w:lastColumn="0" w:noHBand="0" w:noVBand="1"/>
    </w:tblPr>
    <w:tblGrid>
      <w:gridCol w:w="5495"/>
      <w:gridCol w:w="4111"/>
    </w:tblGrid>
    <w:tr w:rsidR="00610D47" w:rsidRPr="00400648" w:rsidTr="00605152">
      <w:trPr>
        <w:trHeight w:val="1550"/>
      </w:trPr>
      <w:tc>
        <w:tcPr>
          <w:tcW w:w="5495" w:type="dxa"/>
          <w:shd w:val="clear" w:color="auto" w:fill="auto"/>
        </w:tcPr>
        <w:p w:rsidR="00610D47" w:rsidRPr="00400648" w:rsidRDefault="00610D47" w:rsidP="00610D47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3360420" cy="3429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04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shd w:val="clear" w:color="auto" w:fill="auto"/>
        </w:tcPr>
        <w:p w:rsidR="00610D47" w:rsidRPr="00400648" w:rsidRDefault="00610D47" w:rsidP="00610D47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2484120" cy="42672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0D47" w:rsidRDefault="00610D47">
    <w:pPr>
      <w:pStyle w:val="Encabezado"/>
    </w:pPr>
  </w:p>
  <w:p w:rsidR="00610D47" w:rsidRDefault="00610D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86C9B"/>
    <w:multiLevelType w:val="hybridMultilevel"/>
    <w:tmpl w:val="9354981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EF"/>
    <w:rsid w:val="00002910"/>
    <w:rsid w:val="0000362C"/>
    <w:rsid w:val="00005ABD"/>
    <w:rsid w:val="000125B7"/>
    <w:rsid w:val="00012B49"/>
    <w:rsid w:val="00014B6B"/>
    <w:rsid w:val="000157A5"/>
    <w:rsid w:val="00040263"/>
    <w:rsid w:val="00041936"/>
    <w:rsid w:val="00044AFD"/>
    <w:rsid w:val="00051482"/>
    <w:rsid w:val="00056FB2"/>
    <w:rsid w:val="0006293C"/>
    <w:rsid w:val="0006295B"/>
    <w:rsid w:val="00064B6B"/>
    <w:rsid w:val="000710FD"/>
    <w:rsid w:val="000732EC"/>
    <w:rsid w:val="00073C4E"/>
    <w:rsid w:val="00074FBB"/>
    <w:rsid w:val="00077BA8"/>
    <w:rsid w:val="00083005"/>
    <w:rsid w:val="00083CA4"/>
    <w:rsid w:val="00087201"/>
    <w:rsid w:val="00090E49"/>
    <w:rsid w:val="000A00F8"/>
    <w:rsid w:val="000A1060"/>
    <w:rsid w:val="000B0784"/>
    <w:rsid w:val="000B114F"/>
    <w:rsid w:val="000B6A7F"/>
    <w:rsid w:val="000C38C5"/>
    <w:rsid w:val="000C6637"/>
    <w:rsid w:val="000C6DD8"/>
    <w:rsid w:val="000D1312"/>
    <w:rsid w:val="000D20BA"/>
    <w:rsid w:val="000D6962"/>
    <w:rsid w:val="000D74CB"/>
    <w:rsid w:val="000E53DA"/>
    <w:rsid w:val="000F4760"/>
    <w:rsid w:val="000F55B9"/>
    <w:rsid w:val="000F5808"/>
    <w:rsid w:val="000F5B66"/>
    <w:rsid w:val="000F7FE5"/>
    <w:rsid w:val="0010106E"/>
    <w:rsid w:val="001100A9"/>
    <w:rsid w:val="00116447"/>
    <w:rsid w:val="00117BB5"/>
    <w:rsid w:val="001236C1"/>
    <w:rsid w:val="001250A5"/>
    <w:rsid w:val="00130A29"/>
    <w:rsid w:val="001350A7"/>
    <w:rsid w:val="0014649E"/>
    <w:rsid w:val="001465B0"/>
    <w:rsid w:val="00150907"/>
    <w:rsid w:val="001513CB"/>
    <w:rsid w:val="001600A1"/>
    <w:rsid w:val="00160FB6"/>
    <w:rsid w:val="00172E4F"/>
    <w:rsid w:val="00182C9D"/>
    <w:rsid w:val="00182D0C"/>
    <w:rsid w:val="00194357"/>
    <w:rsid w:val="001A1E84"/>
    <w:rsid w:val="001B2DD2"/>
    <w:rsid w:val="001B54B6"/>
    <w:rsid w:val="001B6593"/>
    <w:rsid w:val="001C0691"/>
    <w:rsid w:val="001C754C"/>
    <w:rsid w:val="001D0D1A"/>
    <w:rsid w:val="001D4BD0"/>
    <w:rsid w:val="001E1E5A"/>
    <w:rsid w:val="001E2C44"/>
    <w:rsid w:val="001E35A1"/>
    <w:rsid w:val="001E5553"/>
    <w:rsid w:val="001F3CD3"/>
    <w:rsid w:val="001F4A63"/>
    <w:rsid w:val="001F501D"/>
    <w:rsid w:val="001F5F25"/>
    <w:rsid w:val="001F70ED"/>
    <w:rsid w:val="001F7454"/>
    <w:rsid w:val="002013CD"/>
    <w:rsid w:val="00204290"/>
    <w:rsid w:val="002045FE"/>
    <w:rsid w:val="002053FF"/>
    <w:rsid w:val="0020671B"/>
    <w:rsid w:val="00212425"/>
    <w:rsid w:val="00212463"/>
    <w:rsid w:val="002248EA"/>
    <w:rsid w:val="00240F56"/>
    <w:rsid w:val="00242BCC"/>
    <w:rsid w:val="00243932"/>
    <w:rsid w:val="0024409E"/>
    <w:rsid w:val="00247FCF"/>
    <w:rsid w:val="00250995"/>
    <w:rsid w:val="0025240B"/>
    <w:rsid w:val="00260009"/>
    <w:rsid w:val="002601EB"/>
    <w:rsid w:val="0026062F"/>
    <w:rsid w:val="002656AC"/>
    <w:rsid w:val="00272F97"/>
    <w:rsid w:val="00276222"/>
    <w:rsid w:val="00285084"/>
    <w:rsid w:val="00285815"/>
    <w:rsid w:val="0029133B"/>
    <w:rsid w:val="002914CD"/>
    <w:rsid w:val="0029150D"/>
    <w:rsid w:val="002A0CAA"/>
    <w:rsid w:val="002A6B30"/>
    <w:rsid w:val="002A6E98"/>
    <w:rsid w:val="002B09ED"/>
    <w:rsid w:val="002B17F3"/>
    <w:rsid w:val="002B4FAE"/>
    <w:rsid w:val="002C3C2E"/>
    <w:rsid w:val="002C702C"/>
    <w:rsid w:val="002D06A2"/>
    <w:rsid w:val="002D47A5"/>
    <w:rsid w:val="002D7474"/>
    <w:rsid w:val="002E5707"/>
    <w:rsid w:val="002E6962"/>
    <w:rsid w:val="002F041F"/>
    <w:rsid w:val="002F1E2F"/>
    <w:rsid w:val="002F47D3"/>
    <w:rsid w:val="002F4B2A"/>
    <w:rsid w:val="002F5100"/>
    <w:rsid w:val="002F5184"/>
    <w:rsid w:val="002F5C83"/>
    <w:rsid w:val="0030072E"/>
    <w:rsid w:val="0030288E"/>
    <w:rsid w:val="0031314A"/>
    <w:rsid w:val="00315E50"/>
    <w:rsid w:val="00322933"/>
    <w:rsid w:val="003243C9"/>
    <w:rsid w:val="00325811"/>
    <w:rsid w:val="003260C1"/>
    <w:rsid w:val="003270C5"/>
    <w:rsid w:val="00331A1A"/>
    <w:rsid w:val="00332060"/>
    <w:rsid w:val="0034212E"/>
    <w:rsid w:val="00342C13"/>
    <w:rsid w:val="003466B1"/>
    <w:rsid w:val="00350B90"/>
    <w:rsid w:val="00352A49"/>
    <w:rsid w:val="00353671"/>
    <w:rsid w:val="00354893"/>
    <w:rsid w:val="003603BC"/>
    <w:rsid w:val="003626ED"/>
    <w:rsid w:val="00364600"/>
    <w:rsid w:val="0036618C"/>
    <w:rsid w:val="00371437"/>
    <w:rsid w:val="00371E71"/>
    <w:rsid w:val="00372AF1"/>
    <w:rsid w:val="003737EC"/>
    <w:rsid w:val="003774E7"/>
    <w:rsid w:val="003847A3"/>
    <w:rsid w:val="003925E5"/>
    <w:rsid w:val="003A7EA5"/>
    <w:rsid w:val="003B2B7A"/>
    <w:rsid w:val="003C44CC"/>
    <w:rsid w:val="003D5BE9"/>
    <w:rsid w:val="003D672F"/>
    <w:rsid w:val="003D7042"/>
    <w:rsid w:val="003E448C"/>
    <w:rsid w:val="003F345C"/>
    <w:rsid w:val="003F3AC8"/>
    <w:rsid w:val="003F3C16"/>
    <w:rsid w:val="003F5740"/>
    <w:rsid w:val="003F7A6D"/>
    <w:rsid w:val="00402644"/>
    <w:rsid w:val="004041D8"/>
    <w:rsid w:val="00411BBF"/>
    <w:rsid w:val="004156FC"/>
    <w:rsid w:val="00416A78"/>
    <w:rsid w:val="00435F42"/>
    <w:rsid w:val="00436FAD"/>
    <w:rsid w:val="004407DA"/>
    <w:rsid w:val="00440932"/>
    <w:rsid w:val="00441FFA"/>
    <w:rsid w:val="0044601E"/>
    <w:rsid w:val="004519B4"/>
    <w:rsid w:val="0046047E"/>
    <w:rsid w:val="00460922"/>
    <w:rsid w:val="0047093B"/>
    <w:rsid w:val="0047175E"/>
    <w:rsid w:val="00472E29"/>
    <w:rsid w:val="00475B7D"/>
    <w:rsid w:val="004777E4"/>
    <w:rsid w:val="00482C13"/>
    <w:rsid w:val="00486C8C"/>
    <w:rsid w:val="0049261D"/>
    <w:rsid w:val="004940E8"/>
    <w:rsid w:val="004948B2"/>
    <w:rsid w:val="004955D0"/>
    <w:rsid w:val="004958F1"/>
    <w:rsid w:val="0049705E"/>
    <w:rsid w:val="004A43F2"/>
    <w:rsid w:val="004A4A03"/>
    <w:rsid w:val="004A50D9"/>
    <w:rsid w:val="004B7969"/>
    <w:rsid w:val="004C6D5F"/>
    <w:rsid w:val="004D4EA1"/>
    <w:rsid w:val="004D56D3"/>
    <w:rsid w:val="004E2EEA"/>
    <w:rsid w:val="004E4B16"/>
    <w:rsid w:val="004E7BEA"/>
    <w:rsid w:val="005018EB"/>
    <w:rsid w:val="00512CE9"/>
    <w:rsid w:val="005159E5"/>
    <w:rsid w:val="005160BF"/>
    <w:rsid w:val="00522D0F"/>
    <w:rsid w:val="00531E77"/>
    <w:rsid w:val="00537621"/>
    <w:rsid w:val="00545E0A"/>
    <w:rsid w:val="00547B4F"/>
    <w:rsid w:val="00551455"/>
    <w:rsid w:val="005545C0"/>
    <w:rsid w:val="00560226"/>
    <w:rsid w:val="005609D1"/>
    <w:rsid w:val="00561C5E"/>
    <w:rsid w:val="00563F2C"/>
    <w:rsid w:val="00566278"/>
    <w:rsid w:val="00571D57"/>
    <w:rsid w:val="00573DEB"/>
    <w:rsid w:val="00582494"/>
    <w:rsid w:val="0058268B"/>
    <w:rsid w:val="00584F2B"/>
    <w:rsid w:val="005872F6"/>
    <w:rsid w:val="00591857"/>
    <w:rsid w:val="0059584A"/>
    <w:rsid w:val="005A1E12"/>
    <w:rsid w:val="005A27F4"/>
    <w:rsid w:val="005B02A9"/>
    <w:rsid w:val="005B2B8B"/>
    <w:rsid w:val="005B48C1"/>
    <w:rsid w:val="005C0E32"/>
    <w:rsid w:val="005C760F"/>
    <w:rsid w:val="005D0601"/>
    <w:rsid w:val="005D1ACF"/>
    <w:rsid w:val="005D43F6"/>
    <w:rsid w:val="005D5564"/>
    <w:rsid w:val="005D56CA"/>
    <w:rsid w:val="005F24F9"/>
    <w:rsid w:val="005F3DF7"/>
    <w:rsid w:val="00601C9B"/>
    <w:rsid w:val="00604C23"/>
    <w:rsid w:val="00610D47"/>
    <w:rsid w:val="00612EF8"/>
    <w:rsid w:val="006238B6"/>
    <w:rsid w:val="0062541A"/>
    <w:rsid w:val="00631401"/>
    <w:rsid w:val="00631820"/>
    <w:rsid w:val="00633138"/>
    <w:rsid w:val="006341A9"/>
    <w:rsid w:val="0064049D"/>
    <w:rsid w:val="00640565"/>
    <w:rsid w:val="00661E35"/>
    <w:rsid w:val="00671508"/>
    <w:rsid w:val="00677A80"/>
    <w:rsid w:val="00680979"/>
    <w:rsid w:val="006855F6"/>
    <w:rsid w:val="00690E8D"/>
    <w:rsid w:val="00692E42"/>
    <w:rsid w:val="006961B5"/>
    <w:rsid w:val="006A234D"/>
    <w:rsid w:val="006A5752"/>
    <w:rsid w:val="006A5B6F"/>
    <w:rsid w:val="006B2660"/>
    <w:rsid w:val="006B735E"/>
    <w:rsid w:val="006C16C6"/>
    <w:rsid w:val="006C37BE"/>
    <w:rsid w:val="006D02A9"/>
    <w:rsid w:val="006D2050"/>
    <w:rsid w:val="006E34A2"/>
    <w:rsid w:val="006E4E9D"/>
    <w:rsid w:val="006F1305"/>
    <w:rsid w:val="006F1AC3"/>
    <w:rsid w:val="006F1FB4"/>
    <w:rsid w:val="006F4176"/>
    <w:rsid w:val="007027E1"/>
    <w:rsid w:val="00713EB8"/>
    <w:rsid w:val="007153B3"/>
    <w:rsid w:val="00717793"/>
    <w:rsid w:val="00717840"/>
    <w:rsid w:val="00722302"/>
    <w:rsid w:val="00722CF0"/>
    <w:rsid w:val="00725015"/>
    <w:rsid w:val="00726D5C"/>
    <w:rsid w:val="00726E17"/>
    <w:rsid w:val="00727EC5"/>
    <w:rsid w:val="00730F6C"/>
    <w:rsid w:val="007329C9"/>
    <w:rsid w:val="00752DAB"/>
    <w:rsid w:val="00757B5A"/>
    <w:rsid w:val="007638BB"/>
    <w:rsid w:val="00764350"/>
    <w:rsid w:val="00764DB0"/>
    <w:rsid w:val="007676F9"/>
    <w:rsid w:val="00771492"/>
    <w:rsid w:val="007730DE"/>
    <w:rsid w:val="00774C8F"/>
    <w:rsid w:val="00774CE2"/>
    <w:rsid w:val="0078011E"/>
    <w:rsid w:val="0078018C"/>
    <w:rsid w:val="00784D66"/>
    <w:rsid w:val="00785E36"/>
    <w:rsid w:val="0079197B"/>
    <w:rsid w:val="007933F6"/>
    <w:rsid w:val="0079507D"/>
    <w:rsid w:val="007961F3"/>
    <w:rsid w:val="007A07F8"/>
    <w:rsid w:val="007A6971"/>
    <w:rsid w:val="007B4A6F"/>
    <w:rsid w:val="007B7D3D"/>
    <w:rsid w:val="007C453B"/>
    <w:rsid w:val="007C5003"/>
    <w:rsid w:val="007C73E6"/>
    <w:rsid w:val="007D1B27"/>
    <w:rsid w:val="007D3F6B"/>
    <w:rsid w:val="007D7106"/>
    <w:rsid w:val="007D7D00"/>
    <w:rsid w:val="007E1D2C"/>
    <w:rsid w:val="007E24A2"/>
    <w:rsid w:val="007E24E8"/>
    <w:rsid w:val="007E5DA4"/>
    <w:rsid w:val="007F1A3F"/>
    <w:rsid w:val="007F1E13"/>
    <w:rsid w:val="007F77BE"/>
    <w:rsid w:val="007F7A0A"/>
    <w:rsid w:val="0080140A"/>
    <w:rsid w:val="00802270"/>
    <w:rsid w:val="00802F70"/>
    <w:rsid w:val="0080381F"/>
    <w:rsid w:val="00803834"/>
    <w:rsid w:val="00804844"/>
    <w:rsid w:val="00817241"/>
    <w:rsid w:val="008258C9"/>
    <w:rsid w:val="00833B63"/>
    <w:rsid w:val="008413AC"/>
    <w:rsid w:val="0084514C"/>
    <w:rsid w:val="008553D5"/>
    <w:rsid w:val="00855806"/>
    <w:rsid w:val="00855C74"/>
    <w:rsid w:val="00857FB3"/>
    <w:rsid w:val="00862FE0"/>
    <w:rsid w:val="00863141"/>
    <w:rsid w:val="00863889"/>
    <w:rsid w:val="00871BCE"/>
    <w:rsid w:val="00875D62"/>
    <w:rsid w:val="0088200F"/>
    <w:rsid w:val="008876EB"/>
    <w:rsid w:val="0089043B"/>
    <w:rsid w:val="008A317D"/>
    <w:rsid w:val="008A3A60"/>
    <w:rsid w:val="008B034B"/>
    <w:rsid w:val="008B0DCA"/>
    <w:rsid w:val="008B1B36"/>
    <w:rsid w:val="008B2596"/>
    <w:rsid w:val="008B7101"/>
    <w:rsid w:val="008C05D6"/>
    <w:rsid w:val="008C61E9"/>
    <w:rsid w:val="008C7831"/>
    <w:rsid w:val="008C7F4B"/>
    <w:rsid w:val="008D384A"/>
    <w:rsid w:val="008D45AD"/>
    <w:rsid w:val="008E0EBA"/>
    <w:rsid w:val="008E13E1"/>
    <w:rsid w:val="008E21AF"/>
    <w:rsid w:val="008E2AB5"/>
    <w:rsid w:val="008E45A0"/>
    <w:rsid w:val="008E4906"/>
    <w:rsid w:val="008F2B7E"/>
    <w:rsid w:val="008F7BBF"/>
    <w:rsid w:val="0090348E"/>
    <w:rsid w:val="00903965"/>
    <w:rsid w:val="00903FA1"/>
    <w:rsid w:val="009051B4"/>
    <w:rsid w:val="00920BD2"/>
    <w:rsid w:val="00923BF8"/>
    <w:rsid w:val="009371EA"/>
    <w:rsid w:val="00942F3F"/>
    <w:rsid w:val="0094568D"/>
    <w:rsid w:val="009511BF"/>
    <w:rsid w:val="009521B7"/>
    <w:rsid w:val="009567A7"/>
    <w:rsid w:val="00962A4C"/>
    <w:rsid w:val="0096546C"/>
    <w:rsid w:val="009662B0"/>
    <w:rsid w:val="00966D18"/>
    <w:rsid w:val="00970BAF"/>
    <w:rsid w:val="00974569"/>
    <w:rsid w:val="00974F2C"/>
    <w:rsid w:val="00984D9D"/>
    <w:rsid w:val="00992CFE"/>
    <w:rsid w:val="00994007"/>
    <w:rsid w:val="00994850"/>
    <w:rsid w:val="009A419E"/>
    <w:rsid w:val="009A4792"/>
    <w:rsid w:val="009B005F"/>
    <w:rsid w:val="009B1899"/>
    <w:rsid w:val="009B60D6"/>
    <w:rsid w:val="009B7B7A"/>
    <w:rsid w:val="009C0333"/>
    <w:rsid w:val="009D190B"/>
    <w:rsid w:val="009D58EF"/>
    <w:rsid w:val="009D6D53"/>
    <w:rsid w:val="009E6E98"/>
    <w:rsid w:val="009E6FC6"/>
    <w:rsid w:val="009E7B4C"/>
    <w:rsid w:val="00A11552"/>
    <w:rsid w:val="00A21B47"/>
    <w:rsid w:val="00A235CA"/>
    <w:rsid w:val="00A247EF"/>
    <w:rsid w:val="00A26DD8"/>
    <w:rsid w:val="00A325C0"/>
    <w:rsid w:val="00A36D88"/>
    <w:rsid w:val="00A4161C"/>
    <w:rsid w:val="00A41C35"/>
    <w:rsid w:val="00A430AF"/>
    <w:rsid w:val="00A44E96"/>
    <w:rsid w:val="00A50CF3"/>
    <w:rsid w:val="00A52329"/>
    <w:rsid w:val="00A53CC0"/>
    <w:rsid w:val="00A565E6"/>
    <w:rsid w:val="00A57078"/>
    <w:rsid w:val="00A5750A"/>
    <w:rsid w:val="00A62329"/>
    <w:rsid w:val="00A66AF3"/>
    <w:rsid w:val="00A67025"/>
    <w:rsid w:val="00A700AF"/>
    <w:rsid w:val="00A766FD"/>
    <w:rsid w:val="00A822AF"/>
    <w:rsid w:val="00A909B2"/>
    <w:rsid w:val="00A91D16"/>
    <w:rsid w:val="00A956A7"/>
    <w:rsid w:val="00AA0E4B"/>
    <w:rsid w:val="00AA60D8"/>
    <w:rsid w:val="00AB440E"/>
    <w:rsid w:val="00AB52A4"/>
    <w:rsid w:val="00AB66C1"/>
    <w:rsid w:val="00AC460E"/>
    <w:rsid w:val="00AC75F5"/>
    <w:rsid w:val="00AD339F"/>
    <w:rsid w:val="00AD43DF"/>
    <w:rsid w:val="00AD5910"/>
    <w:rsid w:val="00AD73AA"/>
    <w:rsid w:val="00AD7D88"/>
    <w:rsid w:val="00AE013C"/>
    <w:rsid w:val="00AE1752"/>
    <w:rsid w:val="00AE2228"/>
    <w:rsid w:val="00AF1793"/>
    <w:rsid w:val="00AF182B"/>
    <w:rsid w:val="00AF3A95"/>
    <w:rsid w:val="00AF5892"/>
    <w:rsid w:val="00AF683D"/>
    <w:rsid w:val="00B024E1"/>
    <w:rsid w:val="00B06AE1"/>
    <w:rsid w:val="00B16736"/>
    <w:rsid w:val="00B216F8"/>
    <w:rsid w:val="00B2228D"/>
    <w:rsid w:val="00B27065"/>
    <w:rsid w:val="00B273A2"/>
    <w:rsid w:val="00B43DD5"/>
    <w:rsid w:val="00B4771F"/>
    <w:rsid w:val="00B60F1B"/>
    <w:rsid w:val="00B615C9"/>
    <w:rsid w:val="00B61E70"/>
    <w:rsid w:val="00B620B5"/>
    <w:rsid w:val="00B6661F"/>
    <w:rsid w:val="00B765CC"/>
    <w:rsid w:val="00B77147"/>
    <w:rsid w:val="00B80EBB"/>
    <w:rsid w:val="00B9022B"/>
    <w:rsid w:val="00B907D5"/>
    <w:rsid w:val="00B96C48"/>
    <w:rsid w:val="00BA1B5F"/>
    <w:rsid w:val="00BA3BE2"/>
    <w:rsid w:val="00BA480E"/>
    <w:rsid w:val="00BA6FFC"/>
    <w:rsid w:val="00BB118F"/>
    <w:rsid w:val="00BB55EE"/>
    <w:rsid w:val="00BD5E6B"/>
    <w:rsid w:val="00BE004F"/>
    <w:rsid w:val="00BF1D3A"/>
    <w:rsid w:val="00BF217A"/>
    <w:rsid w:val="00C03C2D"/>
    <w:rsid w:val="00C04F90"/>
    <w:rsid w:val="00C130DA"/>
    <w:rsid w:val="00C13367"/>
    <w:rsid w:val="00C15433"/>
    <w:rsid w:val="00C154A1"/>
    <w:rsid w:val="00C15ED9"/>
    <w:rsid w:val="00C16413"/>
    <w:rsid w:val="00C17AFC"/>
    <w:rsid w:val="00C27E0E"/>
    <w:rsid w:val="00C30570"/>
    <w:rsid w:val="00C440DA"/>
    <w:rsid w:val="00C450F2"/>
    <w:rsid w:val="00C504F5"/>
    <w:rsid w:val="00C54261"/>
    <w:rsid w:val="00C544F3"/>
    <w:rsid w:val="00C54636"/>
    <w:rsid w:val="00C54DEC"/>
    <w:rsid w:val="00C6232C"/>
    <w:rsid w:val="00C72816"/>
    <w:rsid w:val="00C73CB8"/>
    <w:rsid w:val="00C7698A"/>
    <w:rsid w:val="00C82EF2"/>
    <w:rsid w:val="00C91CD7"/>
    <w:rsid w:val="00C92D7F"/>
    <w:rsid w:val="00C93B7F"/>
    <w:rsid w:val="00C94070"/>
    <w:rsid w:val="00C96B8C"/>
    <w:rsid w:val="00CA3F30"/>
    <w:rsid w:val="00CA4683"/>
    <w:rsid w:val="00CA7BC6"/>
    <w:rsid w:val="00CB0D19"/>
    <w:rsid w:val="00CB337E"/>
    <w:rsid w:val="00CB46AD"/>
    <w:rsid w:val="00CC0B81"/>
    <w:rsid w:val="00CD3ED5"/>
    <w:rsid w:val="00CE0204"/>
    <w:rsid w:val="00CE0730"/>
    <w:rsid w:val="00CF3AB1"/>
    <w:rsid w:val="00CF48E5"/>
    <w:rsid w:val="00D02E22"/>
    <w:rsid w:val="00D047A9"/>
    <w:rsid w:val="00D07575"/>
    <w:rsid w:val="00D15799"/>
    <w:rsid w:val="00D30172"/>
    <w:rsid w:val="00D36143"/>
    <w:rsid w:val="00D3774C"/>
    <w:rsid w:val="00D417DB"/>
    <w:rsid w:val="00D41BCA"/>
    <w:rsid w:val="00D44CF1"/>
    <w:rsid w:val="00D501E5"/>
    <w:rsid w:val="00D5699F"/>
    <w:rsid w:val="00D607E1"/>
    <w:rsid w:val="00D62ADE"/>
    <w:rsid w:val="00D64BB9"/>
    <w:rsid w:val="00D700B0"/>
    <w:rsid w:val="00D70DD7"/>
    <w:rsid w:val="00D755BA"/>
    <w:rsid w:val="00D76099"/>
    <w:rsid w:val="00D8624F"/>
    <w:rsid w:val="00D96AF8"/>
    <w:rsid w:val="00DA22A2"/>
    <w:rsid w:val="00DA2926"/>
    <w:rsid w:val="00DA7ED8"/>
    <w:rsid w:val="00DB1F43"/>
    <w:rsid w:val="00DC0145"/>
    <w:rsid w:val="00DC1176"/>
    <w:rsid w:val="00DC216E"/>
    <w:rsid w:val="00DC556F"/>
    <w:rsid w:val="00DC627A"/>
    <w:rsid w:val="00DC6F22"/>
    <w:rsid w:val="00DD3FEE"/>
    <w:rsid w:val="00DE0B2D"/>
    <w:rsid w:val="00DE3A8F"/>
    <w:rsid w:val="00DF3936"/>
    <w:rsid w:val="00DF6659"/>
    <w:rsid w:val="00DF7364"/>
    <w:rsid w:val="00E03061"/>
    <w:rsid w:val="00E04EA1"/>
    <w:rsid w:val="00E06E2E"/>
    <w:rsid w:val="00E23A74"/>
    <w:rsid w:val="00E23DAB"/>
    <w:rsid w:val="00E244D9"/>
    <w:rsid w:val="00E27DF2"/>
    <w:rsid w:val="00E43F12"/>
    <w:rsid w:val="00E44630"/>
    <w:rsid w:val="00E45DFE"/>
    <w:rsid w:val="00E46BF4"/>
    <w:rsid w:val="00E5030D"/>
    <w:rsid w:val="00E55A0B"/>
    <w:rsid w:val="00E61BF4"/>
    <w:rsid w:val="00E62A7A"/>
    <w:rsid w:val="00E657D4"/>
    <w:rsid w:val="00E66351"/>
    <w:rsid w:val="00E73734"/>
    <w:rsid w:val="00E73BDE"/>
    <w:rsid w:val="00E74216"/>
    <w:rsid w:val="00E743F6"/>
    <w:rsid w:val="00E765B1"/>
    <w:rsid w:val="00E8269A"/>
    <w:rsid w:val="00E922D1"/>
    <w:rsid w:val="00E94CB4"/>
    <w:rsid w:val="00EA15EC"/>
    <w:rsid w:val="00EA1F58"/>
    <w:rsid w:val="00EA3BAC"/>
    <w:rsid w:val="00EA4275"/>
    <w:rsid w:val="00EA7702"/>
    <w:rsid w:val="00EB029B"/>
    <w:rsid w:val="00EB191A"/>
    <w:rsid w:val="00EB2871"/>
    <w:rsid w:val="00EC7CB9"/>
    <w:rsid w:val="00EC7D76"/>
    <w:rsid w:val="00ED356E"/>
    <w:rsid w:val="00EE61DC"/>
    <w:rsid w:val="00EF0EAE"/>
    <w:rsid w:val="00EF1440"/>
    <w:rsid w:val="00EF479A"/>
    <w:rsid w:val="00EF594C"/>
    <w:rsid w:val="00F00F18"/>
    <w:rsid w:val="00F02A89"/>
    <w:rsid w:val="00F107AE"/>
    <w:rsid w:val="00F13DB1"/>
    <w:rsid w:val="00F14BE4"/>
    <w:rsid w:val="00F17A03"/>
    <w:rsid w:val="00F3565E"/>
    <w:rsid w:val="00F41BA0"/>
    <w:rsid w:val="00F42120"/>
    <w:rsid w:val="00F456EB"/>
    <w:rsid w:val="00F46B24"/>
    <w:rsid w:val="00F61CCE"/>
    <w:rsid w:val="00F62925"/>
    <w:rsid w:val="00F636B4"/>
    <w:rsid w:val="00F67C0C"/>
    <w:rsid w:val="00F707F7"/>
    <w:rsid w:val="00F73C7E"/>
    <w:rsid w:val="00F761FC"/>
    <w:rsid w:val="00F81009"/>
    <w:rsid w:val="00F83ADA"/>
    <w:rsid w:val="00F90F62"/>
    <w:rsid w:val="00F91BCA"/>
    <w:rsid w:val="00F937D4"/>
    <w:rsid w:val="00F97603"/>
    <w:rsid w:val="00FA1FE3"/>
    <w:rsid w:val="00FA59F5"/>
    <w:rsid w:val="00FA5FE2"/>
    <w:rsid w:val="00FA741D"/>
    <w:rsid w:val="00FA7F28"/>
    <w:rsid w:val="00FB0606"/>
    <w:rsid w:val="00FB1781"/>
    <w:rsid w:val="00FB28C7"/>
    <w:rsid w:val="00FB4313"/>
    <w:rsid w:val="00FB7640"/>
    <w:rsid w:val="00FC23BB"/>
    <w:rsid w:val="00FC23F7"/>
    <w:rsid w:val="00FC3D58"/>
    <w:rsid w:val="00FE0506"/>
    <w:rsid w:val="00FE0B2A"/>
    <w:rsid w:val="00FE0DB1"/>
    <w:rsid w:val="00FE402C"/>
    <w:rsid w:val="00FE40A4"/>
    <w:rsid w:val="00FE4681"/>
    <w:rsid w:val="00FE4CEE"/>
    <w:rsid w:val="00FE4E10"/>
    <w:rsid w:val="00FF2BAD"/>
    <w:rsid w:val="00FF390F"/>
    <w:rsid w:val="00FF4F71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E3C76-8261-482F-A19F-9047B45D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ind w:left="714"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7EF"/>
    <w:pPr>
      <w:ind w:left="0" w:firstLine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47EF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610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10D47"/>
    <w:rPr>
      <w:rFonts w:ascii="Calibri" w:eastAsiaTheme="minorHAnsi" w:hAnsi="Calibri"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610D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10D47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pa.gob.es/es/agricultura/temas/medios-de-produccion/maquinaria-agricola/ayudas/ayudas_renovacion_de_maquinaria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N223614</dc:creator>
  <cp:keywords/>
  <dc:description/>
  <cp:lastModifiedBy>x011188</cp:lastModifiedBy>
  <cp:revision>2</cp:revision>
  <dcterms:created xsi:type="dcterms:W3CDTF">2023-08-04T12:44:00Z</dcterms:created>
  <dcterms:modified xsi:type="dcterms:W3CDTF">2023-08-04T12:44:00Z</dcterms:modified>
</cp:coreProperties>
</file>