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4" w:rsidRDefault="00936EE9">
      <w:pPr>
        <w:spacing w:after="46" w:line="259" w:lineRule="auto"/>
        <w:ind w:left="36" w:right="0" w:firstLine="0"/>
        <w:jc w:val="left"/>
      </w:pPr>
      <w:r>
        <w:rPr>
          <w:color w:val="000000"/>
          <w:sz w:val="12"/>
          <w:rFonts w:ascii="Times New Roman" w:hAnsi="Times New Roman"/>
        </w:rPr>
        <w:t xml:space="preserve"> </w:t>
      </w:r>
    </w:p>
    <w:p w:rsidR="00CD6E24" w:rsidRDefault="00936EE9" w:rsidP="00936EE9">
      <w:pPr>
        <w:spacing w:after="0" w:line="259" w:lineRule="auto"/>
        <w:ind w:left="-1099" w:right="0" w:firstLine="0"/>
        <w:jc w:val="right"/>
      </w:pPr>
      <w:r>
        <w:rPr>
          <w:color w:val="000000"/>
        </w:rPr>
        <mc:AlternateContent>
          <mc:Choice Requires="wpg">
            <w:drawing>
              <wp:inline distT="0" distB="0" distL="0" distR="0">
                <wp:extent cx="7239888" cy="475169"/>
                <wp:effectExtent l="0" t="0" r="0" b="0"/>
                <wp:docPr id="3048" name="Group 3048"/>
                <wp:cNvGraphicFramePr/>
                <a:graphic xmlns:a="http://schemas.openxmlformats.org/drawingml/2006/main">
                  <a:graphicData uri="http://schemas.microsoft.com/office/word/2010/wordprocessingGroup">
                    <wpg:wgp>
                      <wpg:cNvGrpSpPr/>
                      <wpg:grpSpPr>
                        <a:xfrm>
                          <a:off x="0" y="0"/>
                          <a:ext cx="7239888" cy="475169"/>
                          <a:chOff x="0" y="0"/>
                          <a:chExt cx="7239888" cy="475169"/>
                        </a:xfrm>
                      </wpg:grpSpPr>
                      <wps:wsp>
                        <wps:cNvPr id="7" name="Rectangle 7"/>
                        <wps:cNvSpPr/>
                        <wps:spPr>
                          <a:xfrm>
                            <a:off x="4243450" y="332359"/>
                            <a:ext cx="42143" cy="189937"/>
                          </a:xfrm>
                          <a:prstGeom prst="rect">
                            <a:avLst/>
                          </a:prstGeom>
                          <a:ln>
                            <a:noFill/>
                          </a:ln>
                        </wps:spPr>
                        <wps:txbx>
                          <w:txbxContent>
                            <w:p w:rsidR="00CD6E24" w:rsidRDefault="00936EE9">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3" name="Picture 33"/>
                          <pic:cNvPicPr/>
                        </pic:nvPicPr>
                        <pic:blipFill>
                          <a:blip r:embed="rId5"/>
                          <a:stretch>
                            <a:fillRect/>
                          </a:stretch>
                        </pic:blipFill>
                        <pic:spPr>
                          <a:xfrm>
                            <a:off x="0" y="35560"/>
                            <a:ext cx="1315593" cy="402590"/>
                          </a:xfrm>
                          <a:prstGeom prst="rect">
                            <a:avLst/>
                          </a:prstGeom>
                        </pic:spPr>
                      </pic:pic>
                      <pic:pic xmlns:pic="http://schemas.openxmlformats.org/drawingml/2006/picture">
                        <pic:nvPicPr>
                          <pic:cNvPr id="35" name="Picture 35"/>
                          <pic:cNvPicPr/>
                        </pic:nvPicPr>
                        <pic:blipFill>
                          <a:blip r:embed="rId6"/>
                          <a:stretch>
                            <a:fillRect/>
                          </a:stretch>
                        </pic:blipFill>
                        <pic:spPr>
                          <a:xfrm>
                            <a:off x="1316989" y="0"/>
                            <a:ext cx="1642872" cy="434975"/>
                          </a:xfrm>
                          <a:prstGeom prst="rect">
                            <a:avLst/>
                          </a:prstGeom>
                        </pic:spPr>
                      </pic:pic>
                      <pic:pic xmlns:pic="http://schemas.openxmlformats.org/drawingml/2006/picture">
                        <pic:nvPicPr>
                          <pic:cNvPr id="37" name="Picture 37"/>
                          <pic:cNvPicPr/>
                        </pic:nvPicPr>
                        <pic:blipFill>
                          <a:blip r:embed="rId7"/>
                          <a:stretch>
                            <a:fillRect/>
                          </a:stretch>
                        </pic:blipFill>
                        <pic:spPr>
                          <a:xfrm>
                            <a:off x="2961639" y="35560"/>
                            <a:ext cx="1279652" cy="402590"/>
                          </a:xfrm>
                          <a:prstGeom prst="rect">
                            <a:avLst/>
                          </a:prstGeom>
                        </pic:spPr>
                      </pic:pic>
                      <pic:pic xmlns:pic="http://schemas.openxmlformats.org/drawingml/2006/picture">
                        <pic:nvPicPr>
                          <pic:cNvPr id="39" name="Picture 39"/>
                          <pic:cNvPicPr/>
                        </pic:nvPicPr>
                        <pic:blipFill>
                          <a:blip r:embed="rId8"/>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3048" style="width:570.07pt;height:37.4149pt;mso-position-horizontal-relative:char;mso-position-vertical-relative:line" coordsize="72398,4751">
                <v:rect id="Rectangle 7" style="position:absolute;width:421;height:1899;left:42434;top:3323;" filled="f" stroked="f">
                  <v:textbox inset="0,0,0,0">
                    <w:txbxContent>
                      <w:p>
                        <w:pPr>
                          <w:spacing w:before="0" w:after="160" w:line="259" w:lineRule="auto"/>
                          <w:ind w:left="0" w:right="0" w:firstLine="0"/>
                          <w:jc w:val="left"/>
                        </w:pPr>
                        <w:r>
                          <w:t xml:space="preserve"> </w:t>
                        </w:r>
                      </w:p>
                    </w:txbxContent>
                  </v:textbox>
                </v:rect>
                <v:shape id="Picture 33" style="position:absolute;width:13155;height:4025;left:0;top:355;" filled="f">
                  <v:imagedata r:id="rId9"/>
                </v:shape>
                <v:shape id="Picture 35" style="position:absolute;width:16428;height:4349;left:13169;top:0;" filled="f">
                  <v:imagedata r:id="rId10"/>
                </v:shape>
                <v:shape id="Picture 37" style="position:absolute;width:12796;height:4025;left:29616;top:355;" filled="f">
                  <v:imagedata r:id="rId11"/>
                </v:shape>
                <v:shape id="Picture 39" style="position:absolute;width:29651;height:3702;left:42746;top:679;" filled="f">
                  <v:imagedata r:id="rId12"/>
                </v:shape>
              </v:group>
            </w:pict>
          </mc:Fallback>
        </mc:AlternateContent>
      </w:r>
      <w:r>
        <w:t xml:space="preserve"> </w:t>
      </w:r>
    </w:p>
    <w:p w:rsidR="00CD6E24" w:rsidRDefault="00936EE9">
      <w:pPr>
        <w:spacing w:after="0" w:line="259" w:lineRule="auto"/>
        <w:ind w:left="320" w:right="0" w:firstLine="0"/>
        <w:jc w:val="left"/>
      </w:pPr>
      <w:r>
        <w:rPr>
          <w:b/>
        </w:rPr>
        <w:t xml:space="preserve">LAGUNTZA PERTSONALA ETXEBIZITZAK ETA AUZOAK PROGRAMAN (MRR funtsak)</w:t>
      </w:r>
      <w:r>
        <w:rPr>
          <w:b/>
        </w:rPr>
        <w:t xml:space="preserve"> </w:t>
      </w:r>
    </w:p>
    <w:p w:rsidR="00CD6E24" w:rsidRDefault="00936EE9" w:rsidP="00936EE9">
      <w:pPr>
        <w:spacing w:after="117" w:line="259" w:lineRule="auto"/>
        <w:ind w:left="1438" w:right="0" w:firstLine="0"/>
        <w:jc w:val="left"/>
      </w:pPr>
      <w:r>
        <w:rPr>
          <w:b/>
        </w:rPr>
        <w:t xml:space="preserve">Kalteberatasun ekonomikoko egoeran dagoen pertsonaren definizioa.</w:t>
      </w:r>
      <w:r>
        <w:rPr>
          <w:b/>
        </w:rPr>
        <w:t xml:space="preserve"> </w:t>
      </w:r>
    </w:p>
    <w:p w:rsidR="00CD6E24" w:rsidRDefault="00936EE9">
      <w:pPr>
        <w:pStyle w:val="Ttulo1"/>
      </w:pPr>
      <w:r>
        <w:t xml:space="preserve">NORENTZAT</w:t>
      </w:r>
      <w:r>
        <w:t xml:space="preserve"> </w:t>
      </w:r>
    </w:p>
    <w:p w:rsidR="00CD6E24" w:rsidRDefault="00936EE9">
      <w:pPr>
        <w:spacing w:after="144" w:line="259" w:lineRule="auto"/>
        <w:ind w:left="7" w:right="0" w:firstLine="0"/>
        <w:jc w:val="left"/>
      </w:pPr>
      <w:r>
        <w:rPr>
          <w:color w:val="000000"/>
        </w:rPr>
        <mc:AlternateContent>
          <mc:Choice Requires="wpg">
            <w:drawing>
              <wp:inline distT="0" distB="0" distL="0" distR="0">
                <wp:extent cx="6068315" cy="6096"/>
                <wp:effectExtent l="0" t="0" r="0" b="0"/>
                <wp:docPr id="3049" name="Group 3049"/>
                <wp:cNvGraphicFramePr/>
                <a:graphic xmlns:a="http://schemas.openxmlformats.org/drawingml/2006/main">
                  <a:graphicData uri="http://schemas.microsoft.com/office/word/2010/wordprocessingGroup">
                    <wpg:wgp>
                      <wpg:cNvGrpSpPr/>
                      <wpg:grpSpPr>
                        <a:xfrm>
                          <a:off x="0" y="0"/>
                          <a:ext cx="6068315" cy="6096"/>
                          <a:chOff x="0" y="0"/>
                          <a:chExt cx="6068315" cy="6096"/>
                        </a:xfrm>
                      </wpg:grpSpPr>
                      <wps:wsp>
                        <wps:cNvPr id="3443" name="Shape 3443"/>
                        <wps:cNvSpPr/>
                        <wps:spPr>
                          <a:xfrm>
                            <a:off x="0" y="0"/>
                            <a:ext cx="6068315" cy="9144"/>
                          </a:xfrm>
                          <a:custGeom>
                            <a:avLst/>
                            <a:gdLst/>
                            <a:ahLst/>
                            <a:cxnLst/>
                            <a:rect l="0" t="0" r="0" b="0"/>
                            <a:pathLst>
                              <a:path w="6068315" h="9144">
                                <a:moveTo>
                                  <a:pt x="0" y="0"/>
                                </a:moveTo>
                                <a:lnTo>
                                  <a:pt x="6068315" y="0"/>
                                </a:lnTo>
                                <a:lnTo>
                                  <a:pt x="6068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49" style="width:477.82pt;height:0.47998pt;mso-position-horizontal-relative:char;mso-position-vertical-relative:line" coordsize="60683,60">
                <v:shape id="Shape 3444" style="position:absolute;width:60683;height:91;left:0;top:0;" coordsize="6068315,9144" path="m0,0l6068315,0l6068315,9144l0,9144l0,0">
                  <v:stroke weight="0pt" endcap="flat" joinstyle="miter" miterlimit="10" on="false" color="#000000" opacity="0"/>
                  <v:fill on="true" color="#000000"/>
                </v:shape>
              </v:group>
            </w:pict>
          </mc:Fallback>
        </mc:AlternateContent>
      </w:r>
    </w:p>
    <w:p w:rsidR="00CD6E24" w:rsidRDefault="00936EE9">
      <w:pPr>
        <w:ind w:left="21" w:right="816" w:firstLine="708"/>
      </w:pPr>
      <w:r>
        <w:t xml:space="preserve">Ukitutako etxebizitzaren jabe edo gozamendun diren pertsona fisikoak, kalteberatasun ekonomikoko egoeran badaude, laguntza gehigarri baten onuradun izan daitezke. Laguntza hori banakako espediente batean bideratuko da, esklusiboki haientzat, eta honako zenbateko hauek izanen ditu:</w:t>
      </w:r>
      <w:r>
        <w:t xml:space="preserve"> </w:t>
      </w:r>
    </w:p>
    <w:p w:rsidR="00CD6E24" w:rsidRDefault="00936EE9">
      <w:pPr>
        <w:ind w:left="31" w:right="816"/>
      </w:pPr>
      <w:r>
        <w:t xml:space="preserve"> </w:t>
      </w:r>
      <w:r>
        <w:rPr>
          <w:b/>
          <w:bCs/>
        </w:rPr>
        <w:t xml:space="preserve">-Familiaren diru-sarrera haztatuak ERREGEROSNA adierazlearen halako 0,75 baino txikiagoak badira</w:t>
      </w:r>
      <w:r>
        <w:t xml:space="preserve">:</w:t>
      </w:r>
      <w:r>
        <w:t xml:space="preserve"> </w:t>
      </w:r>
      <w:r>
        <w:t xml:space="preserve">lanen kostutik etxebizitza bakoitzari egotz dakiokeen zenbatekoaren eta dirulaguntzagatik lorturiko zenbatekoaren arteko aldearen % 100, eta </w:t>
      </w:r>
      <w:r>
        <w:rPr>
          <w:u w:val="single"/>
        </w:rPr>
        <w:t xml:space="preserve">etxebizitza bakoitzeko 6.000 euro gehienez ere</w:t>
      </w:r>
      <w:r>
        <w:t xml:space="preserve">.</w:t>
      </w:r>
      <w:r>
        <w:t xml:space="preserve"> </w:t>
      </w:r>
    </w:p>
    <w:p w:rsidR="00936EE9" w:rsidRDefault="00936EE9" w:rsidP="00936EE9">
      <w:pPr>
        <w:ind w:left="31" w:right="816"/>
      </w:pPr>
      <w:r>
        <w:t xml:space="preserve"> </w:t>
      </w:r>
      <w:r>
        <w:rPr>
          <w:b/>
          <w:bCs/>
        </w:rPr>
        <w:t xml:space="preserve">–Familiaren diru-sarrera haztatuak ERREGEROSNA adierazlearen halako 0,75 eta 1 artean badaude:</w:t>
      </w:r>
      <w:r>
        <w:t xml:space="preserve"> </w:t>
      </w:r>
      <w:r>
        <w:t xml:space="preserve">lanen kostutik etxebizitza bakoitzari egotz dakiokeen zenbatekoaren eta dirulaguntzagatik lorturiko zenbatekoaren arteko aldearen % 100, eta </w:t>
      </w:r>
      <w:r>
        <w:rPr>
          <w:u w:val="single"/>
        </w:rPr>
        <w:t xml:space="preserve">etxebizitza bakoitzeko 3.000 euro gehienez ere</w:t>
      </w:r>
      <w:r>
        <w:t xml:space="preserve">.</w:t>
      </w:r>
      <w:r>
        <w:t xml:space="preserve"> </w:t>
      </w:r>
    </w:p>
    <w:p w:rsidR="00CD6E24" w:rsidRDefault="00936EE9">
      <w:pPr>
        <w:spacing w:after="0" w:line="259" w:lineRule="auto"/>
        <w:ind w:left="1268" w:right="0" w:firstLine="0"/>
        <w:jc w:val="left"/>
      </w:pPr>
      <w:r>
        <w:rPr>
          <w:b/>
          <w:color w:val="1F497D"/>
        </w:rPr>
        <w:t xml:space="preserve">BETEKIZUN EKONOMIKOAK – FAMILIAREN SARRERA HAZTATUEN TAULA</w:t>
      </w:r>
      <w:r>
        <w:rPr>
          <w:b/>
          <w:color w:val="1F497D"/>
        </w:rPr>
        <w:t xml:space="preserve"> </w:t>
      </w:r>
    </w:p>
    <w:p w:rsidR="00CD6E24" w:rsidRDefault="00936EE9">
      <w:pPr>
        <w:spacing w:after="144" w:line="259" w:lineRule="auto"/>
        <w:ind w:left="7" w:right="0" w:firstLine="0"/>
        <w:jc w:val="left"/>
      </w:pPr>
      <w:r>
        <w:rPr>
          <w:color w:val="000000"/>
        </w:rPr>
        <mc:AlternateContent>
          <mc:Choice Requires="wpg">
            <w:drawing>
              <wp:inline distT="0" distB="0" distL="0" distR="0">
                <wp:extent cx="6068315" cy="6096"/>
                <wp:effectExtent l="0" t="0" r="0" b="0"/>
                <wp:docPr id="3050" name="Group 3050"/>
                <wp:cNvGraphicFramePr/>
                <a:graphic xmlns:a="http://schemas.openxmlformats.org/drawingml/2006/main">
                  <a:graphicData uri="http://schemas.microsoft.com/office/word/2010/wordprocessingGroup">
                    <wpg:wgp>
                      <wpg:cNvGrpSpPr/>
                      <wpg:grpSpPr>
                        <a:xfrm>
                          <a:off x="0" y="0"/>
                          <a:ext cx="6068315" cy="6096"/>
                          <a:chOff x="0" y="0"/>
                          <a:chExt cx="6068315" cy="6096"/>
                        </a:xfrm>
                      </wpg:grpSpPr>
                      <wps:wsp>
                        <wps:cNvPr id="3445" name="Shape 3445"/>
                        <wps:cNvSpPr/>
                        <wps:spPr>
                          <a:xfrm>
                            <a:off x="0" y="0"/>
                            <a:ext cx="6068315" cy="9144"/>
                          </a:xfrm>
                          <a:custGeom>
                            <a:avLst/>
                            <a:gdLst/>
                            <a:ahLst/>
                            <a:cxnLst/>
                            <a:rect l="0" t="0" r="0" b="0"/>
                            <a:pathLst>
                              <a:path w="6068315" h="9144">
                                <a:moveTo>
                                  <a:pt x="0" y="0"/>
                                </a:moveTo>
                                <a:lnTo>
                                  <a:pt x="6068315" y="0"/>
                                </a:lnTo>
                                <a:lnTo>
                                  <a:pt x="6068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0" style="width:477.82pt;height:0.480011pt;mso-position-horizontal-relative:char;mso-position-vertical-relative:line" coordsize="60683,60">
                <v:shape id="Shape 3446" style="position:absolute;width:60683;height:91;left:0;top:0;" coordsize="6068315,9144" path="m0,0l6068315,0l6068315,9144l0,9144l0,0">
                  <v:stroke weight="0pt" endcap="flat" joinstyle="miter" miterlimit="10" on="false" color="#000000" opacity="0"/>
                  <v:fill on="true" color="#000000"/>
                </v:shape>
              </v:group>
            </w:pict>
          </mc:Fallback>
        </mc:AlternateContent>
      </w:r>
    </w:p>
    <w:p w:rsidR="00CD6E24" w:rsidRDefault="00936EE9">
      <w:pPr>
        <w:spacing w:after="98" w:line="239" w:lineRule="auto"/>
        <w:ind w:left="36" w:firstLine="0"/>
      </w:pPr>
      <w:r>
        <w:t xml:space="preserve">Familiaren diru-sarrera haztatuak diru-sarrera guztien (eska daitekeen errenta aitorpeneko </w:t>
      </w:r>
      <w:r>
        <w:rPr>
          <w:u w:val="single"/>
          <w:b/>
          <w:bCs/>
        </w:rPr>
        <w:t xml:space="preserve">zerga-oinarriaren zati orokorra</w:t>
      </w:r>
      <w:r>
        <w:t xml:space="preserve"> </w:t>
      </w:r>
      <w:r>
        <w:rPr>
          <w:u w:val="single"/>
          <w:b/>
          <w:bCs/>
        </w:rPr>
        <w:t xml:space="preserve">gehi errenta salbuetsiak</w:t>
      </w:r>
      <w:r>
        <w:t xml:space="preserve">) eta familia-unitatearen osaeraren arteko erlazioaren arabera zehazten dira.</w:t>
      </w:r>
      <w:r>
        <w:t xml:space="preserve"> </w:t>
      </w:r>
      <w:r>
        <w:rPr>
          <w:u w:val="single"/>
        </w:rPr>
        <w:t xml:space="preserve">(Seme-alaba adingabeak baino ez dira sartzen.</w:t>
      </w:r>
      <w:r>
        <w:rPr>
          <w:u w:val="single" w:color="595959"/>
        </w:rPr>
        <w:t xml:space="preserve"> </w:t>
      </w:r>
      <w:r>
        <w:rPr>
          <w:u w:val="single"/>
        </w:rPr>
        <w:t xml:space="preserve">Familia-unitatean desgaitasunen bat duen pertsonaren bat baldin badago, beste kide bat zenbatuko da</w:t>
      </w:r>
      <w:r>
        <w:t xml:space="preserve">.</w:t>
      </w:r>
      <w:r>
        <w:rPr>
          <w:u w:val="single" w:color="595959"/>
        </w:rPr>
        <w:t xml:space="preserve"> </w:t>
      </w:r>
      <w:r>
        <w:rPr>
          <w:u w:val="single"/>
        </w:rPr>
        <w:t xml:space="preserve">Gauza bera 65 urtetik gorako pertsonaren bat badago edo genero-indarkeriaren biktimaren bat badago</w:t>
      </w:r>
      <w:r>
        <w:t xml:space="preserve">)</w:t>
      </w:r>
      <w:r>
        <w:t xml:space="preserve"> </w:t>
      </w:r>
    </w:p>
    <w:p w:rsidR="00CD6E24" w:rsidRDefault="00936EE9">
      <w:pPr>
        <w:spacing w:after="96" w:line="259" w:lineRule="auto"/>
        <w:ind w:left="0" w:right="797" w:firstLine="0"/>
        <w:jc w:val="center"/>
      </w:pPr>
      <w:r>
        <w:rPr>
          <w:b/>
        </w:rPr>
        <w:t xml:space="preserve">Taula hau ateratzen da:</w:t>
      </w:r>
      <w:r>
        <w:rPr>
          <w:b/>
        </w:rPr>
        <w:t xml:space="preserve"> </w:t>
      </w:r>
    </w:p>
    <w:tbl>
      <w:tblPr>
        <w:tblStyle w:val="TableGrid"/>
        <w:tblpPr w:vertAnchor="text" w:horzAnchor="page" w:tblpX="3348" w:tblpY="617"/>
        <w:tblOverlap w:val="never"/>
        <w:tblW w:w="5316" w:type="dxa"/>
        <w:tblInd w:w="0" w:type="dxa"/>
        <w:tblCellMar>
          <w:top w:w="61" w:type="dxa"/>
          <w:left w:w="66" w:type="dxa"/>
          <w:bottom w:w="0" w:type="dxa"/>
          <w:right w:w="64" w:type="dxa"/>
        </w:tblCellMar>
        <w:tblLook w:val="04A0" w:firstRow="1" w:lastRow="0" w:firstColumn="1" w:lastColumn="0" w:noHBand="0" w:noVBand="1"/>
      </w:tblPr>
      <w:tblGrid>
        <w:gridCol w:w="3092"/>
        <w:gridCol w:w="1051"/>
        <w:gridCol w:w="1173"/>
      </w:tblGrid>
      <w:tr w:rsidR="00936EE9" w:rsidTr="00936EE9">
        <w:trPr>
          <w:trHeight w:val="191"/>
        </w:trPr>
        <w:tc>
          <w:tcPr>
            <w:tcW w:w="3092" w:type="dxa"/>
            <w:tcBorders>
              <w:top w:val="single" w:sz="10"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0" w:right="0" w:firstLine="0"/>
              <w:jc w:val="center"/>
            </w:pPr>
            <w:r>
              <w:rPr>
                <w:color w:val="000000"/>
                <w:sz w:val="16"/>
                <w:rFonts w:ascii="Arial" w:hAnsi="Arial"/>
              </w:rPr>
              <w:t xml:space="preserve">Familia-unitatea</w:t>
            </w:r>
          </w:p>
        </w:tc>
        <w:tc>
          <w:tcPr>
            <w:tcW w:w="1051" w:type="dxa"/>
            <w:tcBorders>
              <w:top w:val="single" w:sz="10" w:space="0" w:color="000000"/>
              <w:left w:val="single" w:sz="5" w:space="0" w:color="000000"/>
              <w:bottom w:val="single" w:sz="10" w:space="0" w:color="000000"/>
              <w:right w:val="single" w:sz="5" w:space="0" w:color="000000"/>
            </w:tcBorders>
          </w:tcPr>
          <w:p w:rsidR="00936EE9" w:rsidRDefault="00936EE9" w:rsidP="00936EE9">
            <w:pPr>
              <w:spacing w:after="0" w:line="259" w:lineRule="auto"/>
              <w:ind w:left="0" w:right="0" w:firstLine="0"/>
            </w:pPr>
            <w:r>
              <w:rPr>
                <w:b/>
                <w:color w:val="000000"/>
                <w:sz w:val="16"/>
                <w:rFonts w:ascii="Arial" w:hAnsi="Arial"/>
              </w:rPr>
              <w:t xml:space="preserve">ERREGEROSNA halako 0,75</w:t>
            </w:r>
          </w:p>
        </w:tc>
        <w:tc>
          <w:tcPr>
            <w:tcW w:w="1173" w:type="dxa"/>
            <w:tcBorders>
              <w:top w:val="single" w:sz="10" w:space="0" w:color="000000"/>
              <w:left w:val="single" w:sz="5" w:space="0" w:color="000000"/>
              <w:bottom w:val="single" w:sz="10" w:space="0" w:color="000000"/>
              <w:right w:val="single" w:sz="10" w:space="0" w:color="000000"/>
            </w:tcBorders>
          </w:tcPr>
          <w:p w:rsidR="00936EE9" w:rsidRDefault="00936EE9" w:rsidP="00936EE9">
            <w:pPr>
              <w:spacing w:after="0" w:line="259" w:lineRule="auto"/>
              <w:ind w:left="7" w:right="0" w:firstLine="0"/>
              <w:jc w:val="center"/>
            </w:pPr>
            <w:r>
              <w:rPr>
                <w:b/>
                <w:color w:val="000000"/>
                <w:sz w:val="16"/>
                <w:rFonts w:ascii="Arial" w:hAnsi="Arial"/>
              </w:rPr>
              <w:t xml:space="preserve">ERREGEROSNA halako 1</w:t>
            </w:r>
          </w:p>
        </w:tc>
      </w:tr>
      <w:tr w:rsidR="00936EE9" w:rsidTr="00936EE9">
        <w:trPr>
          <w:trHeight w:val="186"/>
        </w:trPr>
        <w:tc>
          <w:tcPr>
            <w:tcW w:w="3092" w:type="dxa"/>
            <w:vMerge w:val="restart"/>
            <w:tcBorders>
              <w:top w:val="single" w:sz="5" w:space="0" w:color="000000"/>
              <w:left w:val="single" w:sz="5" w:space="0" w:color="000000"/>
              <w:bottom w:val="single" w:sz="10" w:space="0" w:color="000000"/>
              <w:right w:val="single" w:sz="5" w:space="0" w:color="000000"/>
            </w:tcBorders>
          </w:tcPr>
          <w:p w:rsidR="00936EE9" w:rsidRDefault="00936EE9" w:rsidP="00936EE9">
            <w:pPr>
              <w:numPr>
                <w:ilvl w:val="0"/>
                <w:numId w:val="2"/>
              </w:numPr>
              <w:spacing w:after="94"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94"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94"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95"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94"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94"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94"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106" w:line="259" w:lineRule="auto"/>
              <w:ind w:right="8" w:hanging="132"/>
              <w:jc w:val="center"/>
            </w:pPr>
            <w:r>
              <w:rPr>
                <w:color w:val="000000"/>
                <w:sz w:val="16"/>
                <w:rFonts w:ascii="Arial" w:hAnsi="Arial"/>
              </w:rPr>
              <w:t xml:space="preserve">pertsona</w:t>
            </w:r>
          </w:p>
          <w:p w:rsidR="00936EE9" w:rsidRDefault="00936EE9" w:rsidP="00936EE9">
            <w:pPr>
              <w:numPr>
                <w:ilvl w:val="0"/>
                <w:numId w:val="2"/>
              </w:numPr>
              <w:spacing w:after="0" w:line="259" w:lineRule="auto"/>
              <w:ind w:right="8" w:hanging="132"/>
              <w:jc w:val="center"/>
            </w:pPr>
            <w:r>
              <w:rPr>
                <w:color w:val="000000"/>
                <w:sz w:val="16"/>
                <w:rFonts w:ascii="Arial" w:hAnsi="Arial"/>
              </w:rPr>
              <w:t xml:space="preserve">pertsona</w:t>
            </w:r>
          </w:p>
        </w:tc>
        <w:tc>
          <w:tcPr>
            <w:tcW w:w="1051" w:type="dxa"/>
            <w:tcBorders>
              <w:top w:val="single" w:sz="10"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0" w:right="1" w:firstLine="0"/>
              <w:jc w:val="center"/>
            </w:pPr>
            <w:r>
              <w:rPr>
                <w:color w:val="000000"/>
                <w:sz w:val="16"/>
                <w:rFonts w:ascii="Arial" w:hAnsi="Arial"/>
              </w:rPr>
              <w:t xml:space="preserve">7.019,63 €</w:t>
            </w:r>
          </w:p>
        </w:tc>
        <w:tc>
          <w:tcPr>
            <w:tcW w:w="1173" w:type="dxa"/>
            <w:tcBorders>
              <w:top w:val="single" w:sz="10"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6" w:right="0" w:firstLine="0"/>
              <w:jc w:val="center"/>
            </w:pPr>
            <w:r>
              <w:rPr>
                <w:color w:val="000000"/>
                <w:sz w:val="16"/>
                <w:rFonts w:ascii="Arial" w:hAnsi="Arial"/>
              </w:rPr>
              <w:t xml:space="preserve">9.359,51 €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0" w:right="1" w:firstLine="0"/>
              <w:jc w:val="center"/>
            </w:pPr>
            <w:r>
              <w:rPr>
                <w:color w:val="000000"/>
                <w:sz w:val="16"/>
                <w:rFonts w:ascii="Arial" w:hAnsi="Arial"/>
              </w:rPr>
              <w:t xml:space="preserve">9.359,51 €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12.479,35 €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10.028,05 €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13.370,73 €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10.635,81 €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14.181,08 €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11.321,99 €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15.095,98 €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12.102,82 €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16.137,09 €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12.999,32 €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17.332,43 €</w:t>
            </w:r>
          </w:p>
        </w:tc>
      </w:tr>
      <w:tr w:rsidR="00936EE9" w:rsidTr="00936EE9">
        <w:trPr>
          <w:trHeight w:val="183"/>
        </w:trPr>
        <w:tc>
          <w:tcPr>
            <w:tcW w:w="0" w:type="auto"/>
            <w:vMerge/>
            <w:tcBorders>
              <w:top w:val="nil"/>
              <w:left w:val="single" w:sz="5" w:space="0" w:color="000000"/>
              <w:bottom w:val="nil"/>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5"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14.039,27 €</w:t>
            </w:r>
          </w:p>
        </w:tc>
        <w:tc>
          <w:tcPr>
            <w:tcW w:w="1173" w:type="dxa"/>
            <w:tcBorders>
              <w:top w:val="single" w:sz="5" w:space="0" w:color="000000"/>
              <w:left w:val="single" w:sz="5" w:space="0" w:color="000000"/>
              <w:bottom w:val="single" w:sz="5"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18.719,02 €</w:t>
            </w:r>
          </w:p>
        </w:tc>
      </w:tr>
      <w:tr w:rsidR="00936EE9" w:rsidTr="00936EE9">
        <w:trPr>
          <w:trHeight w:val="187"/>
        </w:trPr>
        <w:tc>
          <w:tcPr>
            <w:tcW w:w="0" w:type="auto"/>
            <w:vMerge/>
            <w:tcBorders>
              <w:top w:val="nil"/>
              <w:left w:val="single" w:sz="5" w:space="0" w:color="000000"/>
              <w:bottom w:val="single" w:sz="10" w:space="0" w:color="000000"/>
              <w:right w:val="single" w:sz="5" w:space="0" w:color="000000"/>
            </w:tcBorders>
          </w:tcPr>
          <w:p w:rsidR="00936EE9" w:rsidRDefault="00936EE9" w:rsidP="00936EE9">
            <w:pPr>
              <w:spacing w:after="160" w:line="259" w:lineRule="auto"/>
              <w:ind w:left="0" w:right="0" w:firstLine="0"/>
              <w:jc w:val="left"/>
            </w:pPr>
          </w:p>
        </w:tc>
        <w:tc>
          <w:tcPr>
            <w:tcW w:w="1051" w:type="dxa"/>
            <w:tcBorders>
              <w:top w:val="single" w:sz="5" w:space="0" w:color="000000"/>
              <w:left w:val="single" w:sz="5" w:space="0" w:color="000000"/>
              <w:bottom w:val="single" w:sz="10" w:space="0" w:color="000000"/>
              <w:right w:val="single" w:sz="5" w:space="0" w:color="000000"/>
            </w:tcBorders>
          </w:tcPr>
          <w:p w:rsidR="00936EE9" w:rsidRDefault="00936EE9" w:rsidP="00936EE9">
            <w:pPr>
              <w:spacing w:after="0" w:line="259" w:lineRule="auto"/>
              <w:ind w:left="12" w:right="0" w:firstLine="0"/>
              <w:jc w:val="center"/>
            </w:pPr>
            <w:r>
              <w:rPr>
                <w:color w:val="000000"/>
                <w:sz w:val="16"/>
                <w:rFonts w:ascii="Arial" w:hAnsi="Arial"/>
              </w:rPr>
              <w:t xml:space="preserve">15.260,07 €</w:t>
            </w:r>
          </w:p>
        </w:tc>
        <w:tc>
          <w:tcPr>
            <w:tcW w:w="1173" w:type="dxa"/>
            <w:tcBorders>
              <w:top w:val="single" w:sz="5" w:space="0" w:color="000000"/>
              <w:left w:val="single" w:sz="5" w:space="0" w:color="000000"/>
              <w:bottom w:val="single" w:sz="10" w:space="0" w:color="000000"/>
              <w:right w:val="single" w:sz="10" w:space="0" w:color="000000"/>
            </w:tcBorders>
          </w:tcPr>
          <w:p w:rsidR="00936EE9" w:rsidRDefault="00936EE9" w:rsidP="00936EE9">
            <w:pPr>
              <w:spacing w:after="0" w:line="259" w:lineRule="auto"/>
              <w:ind w:left="18" w:right="0" w:firstLine="0"/>
              <w:jc w:val="center"/>
            </w:pPr>
            <w:r>
              <w:rPr>
                <w:color w:val="000000"/>
                <w:sz w:val="16"/>
                <w:rFonts w:ascii="Arial" w:hAnsi="Arial"/>
              </w:rPr>
              <w:t xml:space="preserve">20.346,76 €</w:t>
            </w:r>
          </w:p>
        </w:tc>
      </w:tr>
    </w:tbl>
    <w:p w:rsidR="00936EE9" w:rsidRDefault="00936EE9" w:rsidP="00936EE9">
      <w:pPr>
        <w:spacing w:after="2481" w:line="259" w:lineRule="auto"/>
        <w:ind w:left="2335" w:right="0" w:firstLine="0"/>
        <w:jc w:val="left"/>
        <w:rPr>
          <w:b/>
          <w:color w:val="FF0000"/>
        </w:rPr>
      </w:pPr>
      <w:r>
        <w:rPr>
          <w:b/>
          <w:color w:val="FF0000"/>
        </w:rPr>
        <w:t xml:space="preserve"> </w:t>
      </w:r>
      <w:r>
        <w:rPr>
          <w:b/>
          <w:color w:val="FF0000"/>
        </w:rPr>
        <w:t xml:space="preserve">FDH – ERREGEROSNA erlazioa (2020ko edo 2021eko diru-sarrerekin alderatu behar da)</w:t>
      </w:r>
    </w:p>
    <w:p w:rsidR="00936EE9" w:rsidRDefault="00936EE9" w:rsidP="00936EE9">
      <w:pPr>
        <w:spacing w:after="79" w:line="259" w:lineRule="auto"/>
        <w:ind w:left="0" w:right="2065" w:firstLine="0"/>
        <w:jc w:val="left"/>
        <w:rPr>
          <w:b/>
          <w:color w:val="FF0000"/>
        </w:rPr>
      </w:pPr>
    </w:p>
    <w:p w:rsidR="00936EE9" w:rsidRDefault="00936EE9" w:rsidP="00936EE9">
      <w:pPr>
        <w:spacing w:after="79" w:line="259" w:lineRule="auto"/>
        <w:ind w:left="0" w:right="2065" w:firstLine="0"/>
        <w:jc w:val="left"/>
        <w:rPr>
          <w:b/>
          <w:color w:val="FF0000"/>
        </w:rPr>
      </w:pPr>
    </w:p>
    <w:p w:rsidR="00936EE9" w:rsidRDefault="00936EE9" w:rsidP="00936EE9">
      <w:pPr>
        <w:ind w:left="0" w:firstLine="0"/>
        <w:rPr>
          <w:b/>
          <w:color w:val="0070C0"/>
        </w:rPr>
      </w:pPr>
    </w:p>
    <w:p w:rsidR="00936EE9" w:rsidRPr="00936EE9" w:rsidRDefault="00936EE9" w:rsidP="00936EE9">
      <w:pPr>
        <w:jc w:val="center"/>
      </w:pPr>
      <w:r>
        <w:rPr>
          <w:b/>
          <w:color w:val="0070C0"/>
        </w:rPr>
        <w:t xml:space="preserve">BESTELAKO BALDINTZAK</w:t>
      </w:r>
    </w:p>
    <w:p w:rsidR="00CD6E24" w:rsidRDefault="00936EE9">
      <w:pPr>
        <w:spacing w:after="144" w:line="259" w:lineRule="auto"/>
        <w:ind w:left="7" w:right="0" w:firstLine="0"/>
        <w:jc w:val="left"/>
      </w:pPr>
      <w:r>
        <w:rPr>
          <w:color w:val="000000"/>
        </w:rPr>
        <mc:AlternateContent>
          <mc:Choice Requires="wpg">
            <w:drawing>
              <wp:inline distT="0" distB="0" distL="0" distR="0">
                <wp:extent cx="6068315" cy="6096"/>
                <wp:effectExtent l="0" t="0" r="0" b="0"/>
                <wp:docPr id="3051" name="Group 3051"/>
                <wp:cNvGraphicFramePr/>
                <a:graphic xmlns:a="http://schemas.openxmlformats.org/drawingml/2006/main">
                  <a:graphicData uri="http://schemas.microsoft.com/office/word/2010/wordprocessingGroup">
                    <wpg:wgp>
                      <wpg:cNvGrpSpPr/>
                      <wpg:grpSpPr>
                        <a:xfrm>
                          <a:off x="0" y="0"/>
                          <a:ext cx="6068315" cy="6096"/>
                          <a:chOff x="0" y="0"/>
                          <a:chExt cx="6068315" cy="6096"/>
                        </a:xfrm>
                      </wpg:grpSpPr>
                      <wps:wsp>
                        <wps:cNvPr id="3465" name="Shape 3465"/>
                        <wps:cNvSpPr/>
                        <wps:spPr>
                          <a:xfrm>
                            <a:off x="0" y="0"/>
                            <a:ext cx="6068315" cy="9144"/>
                          </a:xfrm>
                          <a:custGeom>
                            <a:avLst/>
                            <a:gdLst/>
                            <a:ahLst/>
                            <a:cxnLst/>
                            <a:rect l="0" t="0" r="0" b="0"/>
                            <a:pathLst>
                              <a:path w="6068315" h="9144">
                                <a:moveTo>
                                  <a:pt x="0" y="0"/>
                                </a:moveTo>
                                <a:lnTo>
                                  <a:pt x="6068315" y="0"/>
                                </a:lnTo>
                                <a:lnTo>
                                  <a:pt x="60683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51" style="width:477.82pt;height:0.47998pt;mso-position-horizontal-relative:char;mso-position-vertical-relative:line" coordsize="60683,60">
                <v:shape id="Shape 3466" style="position:absolute;width:60683;height:91;left:0;top:0;" coordsize="6068315,9144" path="m0,0l6068315,0l6068315,9144l0,9144l0,0">
                  <v:stroke weight="0pt" endcap="flat" joinstyle="miter" miterlimit="10" on="false" color="#000000" opacity="0"/>
                  <v:fill on="true" color="#000000"/>
                </v:shape>
              </v:group>
            </w:pict>
          </mc:Fallback>
        </mc:AlternateContent>
      </w:r>
    </w:p>
    <w:p w:rsidR="00CD6E24" w:rsidRDefault="00936EE9">
      <w:pPr>
        <w:ind w:left="31" w:right="816"/>
      </w:pPr>
      <w:r>
        <w:t xml:space="preserve"> </w:t>
      </w:r>
      <w:r>
        <w:tab/>
      </w:r>
      <w:r>
        <w:t xml:space="preserve">Ondoren adierazten direnek ez dute eskuratzen ahalko laguntza pertsonala (familia-unitatea osatzen duten pertsona guztiek bete beharreko baldintzak):</w:t>
      </w:r>
      <w:r>
        <w:t xml:space="preserve"> </w:t>
      </w:r>
    </w:p>
    <w:p w:rsidR="00CD6E24" w:rsidRDefault="00936EE9">
      <w:pPr>
        <w:numPr>
          <w:ilvl w:val="0"/>
          <w:numId w:val="1"/>
        </w:numPr>
        <w:spacing w:after="183"/>
        <w:ind w:right="816" w:hanging="231"/>
      </w:pPr>
      <w:r>
        <w:t xml:space="preserve">Azken bost urteetan etxebizitzaren baten edo haren zati alikuota baten jabaria nahiz hura erabili edo gozatzeko eskubide erreala eskualdatu dutenek, baldin eta eskualdatze horrek 60.000 eurotik gorako diru-sarrerak ekarri baditu (sortutako diru-sarrerak= salmentaren prezioa ken etxebizitza eskuratzeko eskatutako hipoteka-maileguaren kapitaletik ordaintzeko dagoen saldoa).</w:t>
      </w:r>
      <w:r>
        <w:t xml:space="preserve"> </w:t>
      </w:r>
    </w:p>
    <w:p w:rsidR="00CD6E24" w:rsidRDefault="00936EE9">
      <w:pPr>
        <w:spacing w:after="0" w:line="259" w:lineRule="auto"/>
        <w:ind w:left="36" w:right="0" w:firstLine="0"/>
        <w:jc w:val="left"/>
      </w:pPr>
      <w:r>
        <w:rPr>
          <w:sz w:val="16"/>
        </w:rPr>
        <w:t xml:space="preserve"> </w:t>
      </w:r>
    </w:p>
    <w:p w:rsidR="00CD6E24" w:rsidRDefault="00936EE9">
      <w:pPr>
        <w:spacing w:after="0" w:line="259" w:lineRule="auto"/>
        <w:ind w:left="10" w:right="783"/>
        <w:jc w:val="right"/>
      </w:pPr>
      <w:r>
        <w:rPr>
          <w:color w:val="000000"/>
          <w:sz w:val="16"/>
        </w:rPr>
        <w:t xml:space="preserve">Etxebizitza Zerbitzua</w:t>
      </w:r>
      <w:r>
        <w:rPr>
          <w:color w:val="000000"/>
          <w:sz w:val="16"/>
        </w:rPr>
        <w:t xml:space="preserve"> </w:t>
      </w:r>
    </w:p>
    <w:p w:rsidR="00CD6E24" w:rsidRDefault="00936EE9">
      <w:pPr>
        <w:tabs>
          <w:tab w:val="center" w:pos="4429"/>
          <w:tab w:val="center" w:pos="8230"/>
        </w:tabs>
        <w:spacing w:after="0" w:line="259" w:lineRule="auto"/>
        <w:ind w:left="0" w:right="0" w:firstLine="0"/>
        <w:jc w:val="left"/>
      </w:pPr>
      <w:r>
        <w:rPr>
          <w:color w:val="000000"/>
        </w:rPr>
        <w:tab/>
      </w:r>
      <w:r>
        <w:rPr>
          <w:b/>
          <w:sz w:val="18"/>
        </w:rPr>
        <w:t xml:space="preserve"> </w:t>
      </w:r>
      <w:r>
        <w:rPr>
          <w:b/>
          <w:sz w:val="18"/>
        </w:rPr>
        <w:tab/>
      </w:r>
      <w:r>
        <w:rPr>
          <w:color w:val="000000"/>
          <w:sz w:val="16"/>
        </w:rPr>
        <w:t xml:space="preserve">Alondegi kalea 1, 1. solairua - Iruña</w:t>
      </w:r>
      <w:r>
        <w:rPr>
          <w:color w:val="000000"/>
          <w:sz w:val="16"/>
        </w:rPr>
        <w:t xml:space="preserve"> </w:t>
      </w:r>
    </w:p>
    <w:p w:rsidR="00CD6E24" w:rsidRDefault="00936EE9">
      <w:pPr>
        <w:spacing w:after="0" w:line="259" w:lineRule="auto"/>
        <w:ind w:left="-5" w:right="0"/>
        <w:jc w:val="left"/>
      </w:pPr>
      <w:r>
        <w:rPr>
          <w:sz w:val="16"/>
          <w:color w:val="000000"/>
        </w:rPr>
        <w:t xml:space="preserve">Orrialdea: 1 / 2</w:t>
      </w:r>
      <w:r>
        <w:rPr>
          <w:sz w:val="16"/>
          <w:color w:val="009CC4"/>
        </w:rPr>
        <w:t xml:space="preserve"> </w:t>
      </w:r>
    </w:p>
    <w:p w:rsidR="00CD6E24" w:rsidRDefault="00936EE9">
      <w:pPr>
        <w:tabs>
          <w:tab w:val="center" w:pos="4429"/>
          <w:tab w:val="center" w:pos="8745"/>
        </w:tabs>
        <w:spacing w:after="0" w:line="259" w:lineRule="auto"/>
        <w:ind w:left="0" w:right="0" w:firstLine="0"/>
        <w:jc w:val="left"/>
      </w:pPr>
      <w:r>
        <w:rPr>
          <w:color w:val="000000"/>
        </w:rPr>
        <w:tab/>
      </w:r>
      <w:r>
        <w:rPr>
          <w:b/>
          <w:sz w:val="18"/>
        </w:rPr>
        <w:t xml:space="preserve"> </w:t>
      </w:r>
      <w:r>
        <w:rPr>
          <w:b/>
          <w:sz w:val="18"/>
        </w:rPr>
        <w:tab/>
      </w:r>
      <w:hyperlink r:id="rId13">
        <w:r>
          <w:rPr>
            <w:color w:val="0000FF"/>
            <w:sz w:val="16"/>
            <w:u w:val="single" w:color="0000FF"/>
          </w:rPr>
          <w:t xml:space="preserve">www.vivienda.navarra.es</w:t>
        </w:r>
      </w:hyperlink>
    </w:p>
    <w:p w:rsidR="00CD6E24" w:rsidRDefault="00936EE9" w:rsidP="00936EE9">
      <w:pPr>
        <w:spacing w:after="0" w:line="259" w:lineRule="auto"/>
        <w:ind w:left="0" w:right="760" w:firstLine="0"/>
        <w:jc w:val="right"/>
      </w:pPr>
      <w:r>
        <w:rPr>
          <w:color w:val="000000"/>
          <w:sz w:val="16"/>
        </w:rPr>
        <w:t xml:space="preserve"> </w:t>
      </w:r>
    </w:p>
    <w:p w:rsidR="00CD6E24" w:rsidRDefault="00936EE9">
      <w:pPr>
        <w:spacing w:after="0" w:line="259" w:lineRule="auto"/>
        <w:ind w:left="-1099" w:right="0" w:firstLine="0"/>
        <w:jc w:val="right"/>
      </w:pPr>
      <w:r>
        <w:rPr>
          <w:color w:val="000000"/>
        </w:rPr>
        <mc:AlternateContent>
          <mc:Choice Requires="wpg">
            <w:drawing>
              <wp:inline distT="0" distB="0" distL="0" distR="0">
                <wp:extent cx="7239888" cy="475169"/>
                <wp:effectExtent l="0" t="0" r="0" b="0"/>
                <wp:docPr id="2439" name="Group 2439"/>
                <wp:cNvGraphicFramePr/>
                <a:graphic xmlns:a="http://schemas.openxmlformats.org/drawingml/2006/main">
                  <a:graphicData uri="http://schemas.microsoft.com/office/word/2010/wordprocessingGroup">
                    <wpg:wgp>
                      <wpg:cNvGrpSpPr/>
                      <wpg:grpSpPr>
                        <a:xfrm>
                          <a:off x="0" y="0"/>
                          <a:ext cx="7239888" cy="475169"/>
                          <a:chOff x="0" y="0"/>
                          <a:chExt cx="7239888" cy="475169"/>
                        </a:xfrm>
                      </wpg:grpSpPr>
                      <wps:wsp>
                        <wps:cNvPr id="283" name="Rectangle 283"/>
                        <wps:cNvSpPr/>
                        <wps:spPr>
                          <a:xfrm>
                            <a:off x="4243450" y="332359"/>
                            <a:ext cx="42143" cy="189937"/>
                          </a:xfrm>
                          <a:prstGeom prst="rect">
                            <a:avLst/>
                          </a:prstGeom>
                          <a:ln>
                            <a:noFill/>
                          </a:ln>
                        </wps:spPr>
                        <wps:txbx>
                          <w:txbxContent>
                            <w:p w:rsidR="00CD6E24" w:rsidRDefault="00936EE9">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09" name="Picture 309"/>
                          <pic:cNvPicPr/>
                        </pic:nvPicPr>
                        <pic:blipFill>
                          <a:blip r:embed="rId5"/>
                          <a:stretch>
                            <a:fillRect/>
                          </a:stretch>
                        </pic:blipFill>
                        <pic:spPr>
                          <a:xfrm>
                            <a:off x="0" y="35560"/>
                            <a:ext cx="1315593" cy="402590"/>
                          </a:xfrm>
                          <a:prstGeom prst="rect">
                            <a:avLst/>
                          </a:prstGeom>
                        </pic:spPr>
                      </pic:pic>
                      <pic:pic xmlns:pic="http://schemas.openxmlformats.org/drawingml/2006/picture">
                        <pic:nvPicPr>
                          <pic:cNvPr id="311" name="Picture 311"/>
                          <pic:cNvPicPr/>
                        </pic:nvPicPr>
                        <pic:blipFill>
                          <a:blip r:embed="rId6"/>
                          <a:stretch>
                            <a:fillRect/>
                          </a:stretch>
                        </pic:blipFill>
                        <pic:spPr>
                          <a:xfrm>
                            <a:off x="1316989" y="0"/>
                            <a:ext cx="1642872" cy="434975"/>
                          </a:xfrm>
                          <a:prstGeom prst="rect">
                            <a:avLst/>
                          </a:prstGeom>
                        </pic:spPr>
                      </pic:pic>
                      <pic:pic xmlns:pic="http://schemas.openxmlformats.org/drawingml/2006/picture">
                        <pic:nvPicPr>
                          <pic:cNvPr id="313" name="Picture 313"/>
                          <pic:cNvPicPr/>
                        </pic:nvPicPr>
                        <pic:blipFill>
                          <a:blip r:embed="rId7"/>
                          <a:stretch>
                            <a:fillRect/>
                          </a:stretch>
                        </pic:blipFill>
                        <pic:spPr>
                          <a:xfrm>
                            <a:off x="2961639" y="35560"/>
                            <a:ext cx="1279652" cy="402590"/>
                          </a:xfrm>
                          <a:prstGeom prst="rect">
                            <a:avLst/>
                          </a:prstGeom>
                        </pic:spPr>
                      </pic:pic>
                      <pic:pic xmlns:pic="http://schemas.openxmlformats.org/drawingml/2006/picture">
                        <pic:nvPicPr>
                          <pic:cNvPr id="315" name="Picture 315"/>
                          <pic:cNvPicPr/>
                        </pic:nvPicPr>
                        <pic:blipFill>
                          <a:blip r:embed="rId8"/>
                          <a:stretch>
                            <a:fillRect/>
                          </a:stretch>
                        </pic:blipFill>
                        <pic:spPr>
                          <a:xfrm>
                            <a:off x="4274692" y="67945"/>
                            <a:ext cx="2965196" cy="370205"/>
                          </a:xfrm>
                          <a:prstGeom prst="rect">
                            <a:avLst/>
                          </a:prstGeom>
                        </pic:spPr>
                      </pic:pic>
                    </wpg:wgp>
                  </a:graphicData>
                </a:graphic>
              </wp:inline>
            </w:drawing>
          </mc:Choice>
          <mc:Fallback xmlns:a="http://schemas.openxmlformats.org/drawingml/2006/main">
            <w:pict>
              <v:group id="Group 2439" style="width:570.07pt;height:37.4149pt;mso-position-horizontal-relative:char;mso-position-vertical-relative:line" coordsize="72398,4751">
                <v:rect id="Rectangle 283" style="position:absolute;width:421;height:1899;left:42434;top:3323;" filled="f" stroked="f">
                  <v:textbox inset="0,0,0,0">
                    <w:txbxContent>
                      <w:p>
                        <w:pPr>
                          <w:spacing w:before="0" w:after="160" w:line="259" w:lineRule="auto"/>
                          <w:ind w:left="0" w:right="0" w:firstLine="0"/>
                          <w:jc w:val="left"/>
                        </w:pPr>
                        <w:r>
                          <w:t xml:space="preserve"> </w:t>
                        </w:r>
                      </w:p>
                    </w:txbxContent>
                  </v:textbox>
                </v:rect>
                <v:shape id="Picture 309" style="position:absolute;width:13155;height:4025;left:0;top:355;" filled="f">
                  <v:imagedata r:id="rId9"/>
                </v:shape>
                <v:shape id="Picture 311" style="position:absolute;width:16428;height:4349;left:13169;top:0;" filled="f">
                  <v:imagedata r:id="rId10"/>
                </v:shape>
                <v:shape id="Picture 313" style="position:absolute;width:12796;height:4025;left:29616;top:355;" filled="f">
                  <v:imagedata r:id="rId11"/>
                </v:shape>
                <v:shape id="Picture 315" style="position:absolute;width:29651;height:3702;left:42746;top:679;" filled="f">
                  <v:imagedata r:id="rId12"/>
                </v:shape>
              </v:group>
            </w:pict>
          </mc:Fallback>
        </mc:AlternateContent>
      </w:r>
      <w:r>
        <w:t xml:space="preserve"> </w:t>
      </w:r>
    </w:p>
    <w:p w:rsidR="00CD6E24" w:rsidRDefault="00936EE9">
      <w:pPr>
        <w:spacing w:after="120" w:line="259" w:lineRule="auto"/>
        <w:ind w:left="36" w:right="0" w:firstLine="0"/>
        <w:jc w:val="left"/>
      </w:pPr>
      <w:r>
        <w:rPr>
          <w:color w:val="000000"/>
          <w:sz w:val="12"/>
          <w:rFonts w:ascii="Times New Roman" w:hAnsi="Times New Roman"/>
        </w:rPr>
        <w:t xml:space="preserve"> </w:t>
      </w:r>
      <w:r>
        <w:rPr>
          <w:color w:val="000000"/>
          <w:sz w:val="12"/>
          <w:rFonts w:ascii="Times New Roman" w:hAnsi="Times New Roman"/>
        </w:rPr>
        <w:tab/>
      </w:r>
      <w:r>
        <w:rPr>
          <w:color w:val="000000"/>
          <w:sz w:val="12"/>
          <w:rFonts w:ascii="Times New Roman" w:hAnsi="Times New Roman"/>
        </w:rPr>
        <w:t xml:space="preserve"> </w:t>
      </w:r>
    </w:p>
    <w:p w:rsidR="00CD6E24" w:rsidRDefault="00936EE9">
      <w:pPr>
        <w:numPr>
          <w:ilvl w:val="0"/>
          <w:numId w:val="1"/>
        </w:numPr>
        <w:ind w:right="816" w:hanging="231"/>
      </w:pPr>
      <w:r>
        <w:t xml:space="preserve">Beste etxebizitza baten edo haren zati alikuotaren titular direnek, etxebizitza hori ez bada birgaituko dena.</w:t>
      </w:r>
      <w:r>
        <w:t xml:space="preserve"> </w:t>
      </w:r>
    </w:p>
    <w:p w:rsidR="00CD6E24" w:rsidRDefault="00936EE9">
      <w:pPr>
        <w:numPr>
          <w:ilvl w:val="0"/>
          <w:numId w:val="1"/>
        </w:numPr>
        <w:ind w:right="816" w:hanging="231"/>
      </w:pPr>
      <w:r>
        <w:t xml:space="preserve">Ahalmen ekonomikoari buruzko baldintza frogatzeko aurkeztu behar den pertsona fisikoen errentaren gaineko zergaren aitorpenean, aurrezkiaren atal berezian, 5.000 euro baino gehiagoko diru-sarrerak aitortu dituztenek.</w:t>
      </w:r>
      <w:r>
        <w:t xml:space="preserve"> </w:t>
      </w:r>
    </w:p>
    <w:p w:rsidR="00CD6E24" w:rsidRDefault="00936EE9">
      <w:pPr>
        <w:numPr>
          <w:ilvl w:val="0"/>
          <w:numId w:val="1"/>
        </w:numPr>
        <w:ind w:right="816" w:hanging="231"/>
      </w:pPr>
      <w:r>
        <w:t xml:space="preserve">90.000 eurotik gorako ondasun, eskubide edo finantza-aktiboak dituztenek, ondasunok ez badaude enpresa edo lanbide jardueraren bati lotuta.</w:t>
      </w:r>
      <w:r>
        <w:t xml:space="preserve"> </w:t>
      </w:r>
    </w:p>
    <w:p w:rsidR="00CD6E24" w:rsidRDefault="00936EE9">
      <w:pPr>
        <w:spacing w:after="79" w:line="259" w:lineRule="auto"/>
        <w:ind w:left="36" w:right="0" w:firstLine="0"/>
        <w:jc w:val="left"/>
      </w:pPr>
      <w:r>
        <w:t xml:space="preserve"> </w:t>
      </w:r>
    </w:p>
    <w:p w:rsidR="00CD6E24" w:rsidRDefault="00936EE9">
      <w:pPr>
        <w:spacing w:after="76" w:line="259" w:lineRule="auto"/>
        <w:ind w:left="36" w:right="0" w:firstLine="0"/>
        <w:jc w:val="left"/>
      </w:pPr>
      <w:r>
        <w:t xml:space="preserve"> </w:t>
      </w:r>
    </w:p>
    <w:p w:rsidR="00CD6E24" w:rsidRDefault="00936EE9">
      <w:pPr>
        <w:ind w:left="31" w:right="816"/>
      </w:pPr>
      <w:r>
        <w:t xml:space="preserve">ERAIKINEN edo AUZOEN programaren barruan, erkidegoarentzako laguntzen onuradun den eraikin batean sartuta dagoen etxebizitza duten pertsonek soilik eskuratu dezakete laguntza pertsonala.</w:t>
      </w:r>
      <w:r>
        <w:t xml:space="preserve"> </w:t>
      </w:r>
    </w:p>
    <w:p w:rsidR="00CD6E24" w:rsidRDefault="00936EE9">
      <w:pPr>
        <w:spacing w:after="76" w:line="259" w:lineRule="auto"/>
        <w:ind w:left="36" w:right="0" w:firstLine="0"/>
        <w:jc w:val="left"/>
      </w:pPr>
      <w:r>
        <w:t xml:space="preserve"> </w:t>
      </w:r>
    </w:p>
    <w:p w:rsidR="00CD6E24" w:rsidRDefault="00936EE9" w:rsidP="00936EE9">
      <w:pPr>
        <w:spacing w:after="79" w:line="259" w:lineRule="auto"/>
        <w:ind w:left="36" w:right="0" w:firstLine="0"/>
        <w:jc w:val="left"/>
      </w:pPr>
      <w:r>
        <w:t xml:space="preserve">Argibide gehiago: </w:t>
      </w:r>
      <w:hyperlink r:id="rId15">
        <w:r>
          <w:rPr>
            <w:color w:val="0000FF"/>
            <w:u w:val="single" w:color="0000FF"/>
          </w:rPr>
          <w:t xml:space="preserve">www.vivienda.navarra.es</w:t>
        </w:r>
      </w:hyperlink>
      <w:hyperlink r:id="rId16">
        <w:r>
          <w:t xml:space="preserve"> </w:t>
        </w:r>
      </w:hyperlink>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936EE9" w:rsidRDefault="00936EE9" w:rsidP="00936EE9">
      <w:pPr>
        <w:spacing w:after="79" w:line="259" w:lineRule="auto"/>
        <w:ind w:left="36" w:right="0" w:firstLine="0"/>
        <w:jc w:val="left"/>
      </w:pPr>
    </w:p>
    <w:p w:rsidR="00CD6E24" w:rsidRDefault="00936EE9">
      <w:pPr>
        <w:spacing w:after="0" w:line="259" w:lineRule="auto"/>
        <w:ind w:left="10" w:right="783"/>
        <w:jc w:val="right"/>
      </w:pPr>
      <w:r>
        <w:rPr>
          <w:color w:val="000000"/>
          <w:sz w:val="16"/>
        </w:rPr>
        <w:t xml:space="preserve">Etxebizitza Zerbitzua</w:t>
      </w:r>
      <w:r>
        <w:rPr>
          <w:color w:val="000000"/>
          <w:sz w:val="16"/>
        </w:rPr>
        <w:t xml:space="preserve"> </w:t>
      </w:r>
    </w:p>
    <w:p w:rsidR="00CD6E24" w:rsidRDefault="00936EE9">
      <w:pPr>
        <w:tabs>
          <w:tab w:val="center" w:pos="4429"/>
          <w:tab w:val="center" w:pos="8230"/>
        </w:tabs>
        <w:spacing w:after="0" w:line="259" w:lineRule="auto"/>
        <w:ind w:left="0" w:right="0" w:firstLine="0"/>
        <w:jc w:val="left"/>
      </w:pPr>
      <w:r>
        <w:rPr>
          <w:color w:val="000000"/>
        </w:rPr>
        <w:tab/>
      </w:r>
      <w:r>
        <w:rPr>
          <w:b/>
          <w:sz w:val="18"/>
        </w:rPr>
        <w:t xml:space="preserve"> </w:t>
      </w:r>
      <w:r>
        <w:rPr>
          <w:b/>
          <w:sz w:val="18"/>
        </w:rPr>
        <w:tab/>
      </w:r>
      <w:r>
        <w:rPr>
          <w:color w:val="000000"/>
          <w:sz w:val="16"/>
        </w:rPr>
        <w:t xml:space="preserve">Alondegi kalea 1, 1. solairua - Iruña</w:t>
      </w:r>
      <w:r>
        <w:rPr>
          <w:color w:val="000000"/>
          <w:sz w:val="16"/>
        </w:rPr>
        <w:t xml:space="preserve"> </w:t>
      </w:r>
    </w:p>
    <w:p w:rsidR="00CD6E24" w:rsidRDefault="00936EE9">
      <w:pPr>
        <w:spacing w:after="0" w:line="259" w:lineRule="auto"/>
        <w:ind w:left="-5" w:right="0"/>
        <w:jc w:val="left"/>
      </w:pPr>
      <w:r>
        <w:rPr>
          <w:sz w:val="16"/>
          <w:color w:val="000000"/>
        </w:rPr>
        <w:t xml:space="preserve">Orrialdea: 2 / 2</w:t>
      </w:r>
      <w:r>
        <w:rPr>
          <w:sz w:val="16"/>
          <w:color w:val="009CC4"/>
        </w:rPr>
        <w:t xml:space="preserve"> </w:t>
      </w:r>
    </w:p>
    <w:p w:rsidR="00CD6E24" w:rsidRDefault="00936EE9">
      <w:pPr>
        <w:tabs>
          <w:tab w:val="center" w:pos="4429"/>
          <w:tab w:val="center" w:pos="8745"/>
        </w:tabs>
        <w:spacing w:after="0" w:line="259" w:lineRule="auto"/>
        <w:ind w:left="0" w:right="0" w:firstLine="0"/>
        <w:jc w:val="left"/>
      </w:pPr>
      <w:r>
        <w:rPr>
          <w:color w:val="000000"/>
        </w:rPr>
        <w:tab/>
      </w:r>
      <w:r>
        <w:rPr>
          <w:b/>
          <w:sz w:val="18"/>
        </w:rPr>
        <w:t xml:space="preserve"> </w:t>
      </w:r>
      <w:r>
        <w:rPr>
          <w:b/>
          <w:sz w:val="18"/>
        </w:rPr>
        <w:tab/>
      </w:r>
      <w:hyperlink r:id="rId17">
        <w:r>
          <w:rPr>
            <w:color w:val="0000FF"/>
            <w:sz w:val="16"/>
            <w:u w:val="single" w:color="0000FF"/>
          </w:rPr>
          <w:t xml:space="preserve">www.vivienda.navarra.es</w:t>
        </w:r>
      </w:hyperlink>
    </w:p>
    <w:p w:rsidR="00CD6E24" w:rsidRDefault="00936EE9">
      <w:pPr>
        <w:spacing w:after="0" w:line="259" w:lineRule="auto"/>
        <w:ind w:left="0" w:right="760" w:firstLine="0"/>
        <w:jc w:val="right"/>
      </w:pPr>
      <w:r>
        <w:rPr>
          <w:color w:val="000000"/>
          <w:sz w:val="16"/>
        </w:rPr>
        <w:t xml:space="preserve"> </w:t>
      </w:r>
    </w:p>
    <w:p w:rsidR="00CD6E24" w:rsidRDefault="00936EE9">
      <w:pPr>
        <w:spacing w:after="0" w:line="259" w:lineRule="auto"/>
        <w:ind w:left="36" w:right="0" w:firstLine="0"/>
        <w:jc w:val="left"/>
      </w:pPr>
      <w:r>
        <w:rPr>
          <w:sz w:val="16"/>
        </w:rPr>
        <w:t xml:space="preserve"> </w:t>
      </w:r>
    </w:p>
    <w:sectPr w:rsidR="00CD6E24">
      <w:pgSz w:w="11906" w:h="16838"/>
      <w:pgMar w:top="709" w:right="301" w:bottom="284" w:left="12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38D2"/>
    <w:multiLevelType w:val="hybridMultilevel"/>
    <w:tmpl w:val="32069F14"/>
    <w:lvl w:ilvl="0" w:tplc="3DA44A44">
      <w:start w:val="1"/>
      <w:numFmt w:val="lowerLetter"/>
      <w:lvlText w:val="%1)"/>
      <w:lvlJc w:val="left"/>
      <w:pPr>
        <w:ind w:left="252"/>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1" w:tplc="78247954">
      <w:start w:val="1"/>
      <w:numFmt w:val="lowerLetter"/>
      <w:lvlText w:val="%2"/>
      <w:lvlJc w:val="left"/>
      <w:pPr>
        <w:ind w:left="111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2" w:tplc="2980880A">
      <w:start w:val="1"/>
      <w:numFmt w:val="lowerRoman"/>
      <w:lvlText w:val="%3"/>
      <w:lvlJc w:val="left"/>
      <w:pPr>
        <w:ind w:left="183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3" w:tplc="929CE060">
      <w:start w:val="1"/>
      <w:numFmt w:val="decimal"/>
      <w:lvlText w:val="%4"/>
      <w:lvlJc w:val="left"/>
      <w:pPr>
        <w:ind w:left="255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4" w:tplc="3F561F08">
      <w:start w:val="1"/>
      <w:numFmt w:val="lowerLetter"/>
      <w:lvlText w:val="%5"/>
      <w:lvlJc w:val="left"/>
      <w:pPr>
        <w:ind w:left="327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5" w:tplc="F09052BE">
      <w:start w:val="1"/>
      <w:numFmt w:val="lowerRoman"/>
      <w:lvlText w:val="%6"/>
      <w:lvlJc w:val="left"/>
      <w:pPr>
        <w:ind w:left="399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6" w:tplc="D0B8E23A">
      <w:start w:val="1"/>
      <w:numFmt w:val="decimal"/>
      <w:lvlText w:val="%7"/>
      <w:lvlJc w:val="left"/>
      <w:pPr>
        <w:ind w:left="471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7" w:tplc="6DBA16B4">
      <w:start w:val="1"/>
      <w:numFmt w:val="lowerLetter"/>
      <w:lvlText w:val="%8"/>
      <w:lvlJc w:val="left"/>
      <w:pPr>
        <w:ind w:left="543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lvl w:ilvl="8" w:tplc="7F6AA842">
      <w:start w:val="1"/>
      <w:numFmt w:val="lowerRoman"/>
      <w:lvlText w:val="%9"/>
      <w:lvlJc w:val="left"/>
      <w:pPr>
        <w:ind w:left="6156"/>
      </w:pPr>
      <w:rPr>
        <w:rFonts w:ascii="Calibri" w:eastAsia="Calibri" w:hAnsi="Calibri" w:cs="Calibri"/>
        <w:b w:val="0"/>
        <w:i w:val="0"/>
        <w:strike w:val="0"/>
        <w:dstrike w:val="0"/>
        <w:color w:val="595959"/>
        <w:sz w:val="22"/>
        <w:szCs w:val="22"/>
        <w:u w:val="none" w:color="000000"/>
        <w:bdr w:val="none" w:sz="0" w:space="0" w:color="auto"/>
        <w:shd w:val="clear" w:color="auto" w:fill="auto"/>
        <w:vertAlign w:val="baseline"/>
      </w:rPr>
    </w:lvl>
  </w:abstractNum>
  <w:abstractNum w:abstractNumId="1" w15:restartNumberingAfterBreak="0">
    <w:nsid w:val="37A8716F"/>
    <w:multiLevelType w:val="hybridMultilevel"/>
    <w:tmpl w:val="18247948"/>
    <w:lvl w:ilvl="0" w:tplc="49083E7E">
      <w:start w:val="1"/>
      <w:numFmt w:val="decimal"/>
      <w:lvlText w:val="%1"/>
      <w:lvlJc w:val="left"/>
      <w:pPr>
        <w:ind w:left="1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A548788">
      <w:start w:val="1"/>
      <w:numFmt w:val="lowerLetter"/>
      <w:lvlText w:val="%2"/>
      <w:lvlJc w:val="left"/>
      <w:pPr>
        <w:ind w:left="27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4EA6E02">
      <w:start w:val="1"/>
      <w:numFmt w:val="lowerRoman"/>
      <w:lvlText w:val="%3"/>
      <w:lvlJc w:val="left"/>
      <w:pPr>
        <w:ind w:left="34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C520E6BE">
      <w:start w:val="1"/>
      <w:numFmt w:val="decimal"/>
      <w:lvlText w:val="%4"/>
      <w:lvlJc w:val="left"/>
      <w:pPr>
        <w:ind w:left="4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8B82E10">
      <w:start w:val="1"/>
      <w:numFmt w:val="lowerLetter"/>
      <w:lvlText w:val="%5"/>
      <w:lvlJc w:val="left"/>
      <w:pPr>
        <w:ind w:left="4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80C6CF00">
      <w:start w:val="1"/>
      <w:numFmt w:val="lowerRoman"/>
      <w:lvlText w:val="%6"/>
      <w:lvlJc w:val="left"/>
      <w:pPr>
        <w:ind w:left="5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CA441516">
      <w:start w:val="1"/>
      <w:numFmt w:val="decimal"/>
      <w:lvlText w:val="%7"/>
      <w:lvlJc w:val="left"/>
      <w:pPr>
        <w:ind w:left="6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5081BFA">
      <w:start w:val="1"/>
      <w:numFmt w:val="lowerLetter"/>
      <w:lvlText w:val="%8"/>
      <w:lvlJc w:val="left"/>
      <w:pPr>
        <w:ind w:left="7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98AEBAD6">
      <w:start w:val="1"/>
      <w:numFmt w:val="lowerRoman"/>
      <w:lvlText w:val="%9"/>
      <w:lvlJc w:val="left"/>
      <w:pPr>
        <w:ind w:left="7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24"/>
    <w:rsid w:val="00936EE9"/>
    <w:rsid w:val="00CD6E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C919"/>
  <w15:docId w15:val="{604438A3-0270-45AC-BE96-FC047DAE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9" w:line="249" w:lineRule="auto"/>
      <w:ind w:left="46" w:right="829" w:hanging="10"/>
      <w:jc w:val="both"/>
    </w:pPr>
    <w:rPr>
      <w:rFonts w:ascii="Calibri" w:eastAsia="Calibri" w:hAnsi="Calibri" w:cs="Calibri"/>
      <w:color w:val="595959"/>
    </w:rPr>
  </w:style>
  <w:style w:type="paragraph" w:styleId="Ttulo1">
    <w:name w:val="heading 1"/>
    <w:next w:val="Normal"/>
    <w:link w:val="Ttulo1Car"/>
    <w:uiPriority w:val="9"/>
    <w:unhideWhenUsed/>
    <w:qFormat/>
    <w:pPr>
      <w:keepNext/>
      <w:keepLines/>
      <w:spacing w:after="0"/>
      <w:ind w:left="10" w:right="793" w:hanging="10"/>
      <w:jc w:val="center"/>
      <w:outlineLvl w:val="0"/>
    </w:pPr>
    <w:rPr>
      <w:rFonts w:ascii="Calibri" w:eastAsia="Calibri" w:hAnsi="Calibri" w:cs="Calibri"/>
      <w:b/>
      <w:color w:val="1F497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1F497D"/>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vivienda.navarra.es" TargetMode="External"/><Relationship Id="rId18" Type="http://schemas.openxmlformats.org/officeDocument/2006/relationships/hyperlink" Target="http://www.vivienda.navarra.es"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3.png"/><Relationship Id="rId17" Type="http://schemas.openxmlformats.org/officeDocument/2006/relationships/hyperlink" Target="http://www.vivienda.navarra.es" TargetMode="External"/><Relationship Id="rId2" Type="http://schemas.openxmlformats.org/officeDocument/2006/relationships/styles" Target="styles.xml"/><Relationship Id="rId16" Type="http://schemas.openxmlformats.org/officeDocument/2006/relationships/hyperlink" Target="http://www.vivienda.navarra.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20.jpg"/><Relationship Id="rId5" Type="http://schemas.openxmlformats.org/officeDocument/2006/relationships/image" Target="media/image1.png"/><Relationship Id="rId15" Type="http://schemas.openxmlformats.org/officeDocument/2006/relationships/hyperlink" Target="http://www.vivienda.navarra.es"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hyperlink" Target="http://www.vivienda.navar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3108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Plantilla Informes-INECO</vt:lpstr>
    </vt:vector>
  </TitlesOfParts>
  <Company>Gobierno de Navarra</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Informes-INECO</dc:title>
  <dc:subject/>
  <dc:creator>Andrés Ortega, Silvia</dc:creator>
  <cp:keywords/>
  <cp:lastModifiedBy>X075407</cp:lastModifiedBy>
  <cp:revision>2</cp:revision>
  <dcterms:created xsi:type="dcterms:W3CDTF">2022-05-19T10:34:00Z</dcterms:created>
  <dcterms:modified xsi:type="dcterms:W3CDTF">2022-05-19T10:34:00Z</dcterms:modified>
</cp:coreProperties>
</file>