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C67" w:rsidRDefault="00531C2E">
      <w:pPr>
        <w:spacing w:after="46" w:line="259" w:lineRule="auto"/>
        <w:ind w:left="36" w:firstLine="0"/>
        <w:jc w:val="left"/>
      </w:pPr>
      <w:r>
        <w:rPr>
          <w:color w:val="000000"/>
          <w:sz w:val="12"/>
          <w:rFonts w:ascii="Times New Roman" w:hAnsi="Times New Roman"/>
        </w:rPr>
        <w:t xml:space="preserve"> </w:t>
      </w:r>
    </w:p>
    <w:p w:rsidR="005D1C67" w:rsidRDefault="00531C2E" w:rsidP="00531C2E">
      <w:pPr>
        <w:spacing w:after="0" w:line="259" w:lineRule="auto"/>
        <w:ind w:left="-1099" w:firstLine="0"/>
        <w:jc w:val="right"/>
      </w:pPr>
      <w:r>
        <w:rPr>
          <w:color w:val="000000"/>
        </w:rPr>
        <mc:AlternateContent>
          <mc:Choice Requires="wpg">
            <w:drawing>
              <wp:inline distT="0" distB="0" distL="0" distR="0">
                <wp:extent cx="7239888" cy="475169"/>
                <wp:effectExtent l="0" t="0" r="0" b="0"/>
                <wp:docPr id="3325" name="Group 3325"/>
                <wp:cNvGraphicFramePr/>
                <a:graphic xmlns:a="http://schemas.openxmlformats.org/drawingml/2006/main">
                  <a:graphicData uri="http://schemas.microsoft.com/office/word/2010/wordprocessingGroup">
                    <wpg:wgp>
                      <wpg:cNvGrpSpPr/>
                      <wpg:grpSpPr>
                        <a:xfrm>
                          <a:off x="0" y="0"/>
                          <a:ext cx="7239888" cy="475169"/>
                          <a:chOff x="0" y="0"/>
                          <a:chExt cx="7239888" cy="475169"/>
                        </a:xfrm>
                      </wpg:grpSpPr>
                      <wps:wsp>
                        <wps:cNvPr id="7" name="Rectangle 7"/>
                        <wps:cNvSpPr/>
                        <wps:spPr>
                          <a:xfrm>
                            <a:off x="4243450" y="332359"/>
                            <a:ext cx="42143" cy="189937"/>
                          </a:xfrm>
                          <a:prstGeom prst="rect">
                            <a:avLst/>
                          </a:prstGeom>
                          <a:ln>
                            <a:noFill/>
                          </a:ln>
                        </wps:spPr>
                        <wps:txbx>
                          <w:txbxContent>
                            <w:p w:rsidR="005D1C67" w:rsidRDefault="00531C2E">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33" name="Picture 33"/>
                          <pic:cNvPicPr/>
                        </pic:nvPicPr>
                        <pic:blipFill>
                          <a:blip r:embed="rId5"/>
                          <a:stretch>
                            <a:fillRect/>
                          </a:stretch>
                        </pic:blipFill>
                        <pic:spPr>
                          <a:xfrm>
                            <a:off x="0" y="35560"/>
                            <a:ext cx="1315593" cy="402590"/>
                          </a:xfrm>
                          <a:prstGeom prst="rect">
                            <a:avLst/>
                          </a:prstGeom>
                        </pic:spPr>
                      </pic:pic>
                      <pic:pic xmlns:pic="http://schemas.openxmlformats.org/drawingml/2006/picture">
                        <pic:nvPicPr>
                          <pic:cNvPr id="35" name="Picture 35"/>
                          <pic:cNvPicPr/>
                        </pic:nvPicPr>
                        <pic:blipFill>
                          <a:blip r:embed="rId6"/>
                          <a:stretch>
                            <a:fillRect/>
                          </a:stretch>
                        </pic:blipFill>
                        <pic:spPr>
                          <a:xfrm>
                            <a:off x="1316989" y="0"/>
                            <a:ext cx="1642872" cy="434975"/>
                          </a:xfrm>
                          <a:prstGeom prst="rect">
                            <a:avLst/>
                          </a:prstGeom>
                        </pic:spPr>
                      </pic:pic>
                      <pic:pic xmlns:pic="http://schemas.openxmlformats.org/drawingml/2006/picture">
                        <pic:nvPicPr>
                          <pic:cNvPr id="37" name="Picture 37"/>
                          <pic:cNvPicPr/>
                        </pic:nvPicPr>
                        <pic:blipFill>
                          <a:blip r:embed="rId7"/>
                          <a:stretch>
                            <a:fillRect/>
                          </a:stretch>
                        </pic:blipFill>
                        <pic:spPr>
                          <a:xfrm>
                            <a:off x="2961639" y="35560"/>
                            <a:ext cx="1279652" cy="402590"/>
                          </a:xfrm>
                          <a:prstGeom prst="rect">
                            <a:avLst/>
                          </a:prstGeom>
                        </pic:spPr>
                      </pic:pic>
                      <pic:pic xmlns:pic="http://schemas.openxmlformats.org/drawingml/2006/picture">
                        <pic:nvPicPr>
                          <pic:cNvPr id="39" name="Picture 39"/>
                          <pic:cNvPicPr/>
                        </pic:nvPicPr>
                        <pic:blipFill>
                          <a:blip r:embed="rId8"/>
                          <a:stretch>
                            <a:fillRect/>
                          </a:stretch>
                        </pic:blipFill>
                        <pic:spPr>
                          <a:xfrm>
                            <a:off x="4274692" y="67945"/>
                            <a:ext cx="2965196" cy="370205"/>
                          </a:xfrm>
                          <a:prstGeom prst="rect">
                            <a:avLst/>
                          </a:prstGeom>
                        </pic:spPr>
                      </pic:pic>
                    </wpg:wgp>
                  </a:graphicData>
                </a:graphic>
              </wp:inline>
            </w:drawing>
          </mc:Choice>
          <mc:Fallback xmlns:a="http://schemas.openxmlformats.org/drawingml/2006/main">
            <w:pict>
              <v:group id="Group 3325" style="width:570.07pt;height:37.4149pt;mso-position-horizontal-relative:char;mso-position-vertical-relative:line" coordsize="72398,4751">
                <v:rect id="Rectangle 7" style="position:absolute;width:421;height:1899;left:42434;top:3323;" filled="f" stroked="f">
                  <v:textbox inset="0,0,0,0">
                    <w:txbxContent>
                      <w:p>
                        <w:pPr>
                          <w:spacing w:before="0" w:after="160" w:line="259" w:lineRule="auto"/>
                          <w:ind w:left="0" w:firstLine="0"/>
                          <w:jc w:val="left"/>
                        </w:pPr>
                        <w:r>
                          <w:t xml:space="preserve"> </w:t>
                        </w:r>
                      </w:p>
                    </w:txbxContent>
                  </v:textbox>
                </v:rect>
                <v:shape id="Picture 33" style="position:absolute;width:13155;height:4025;left:0;top:355;" filled="f">
                  <v:imagedata r:id="rId9"/>
                </v:shape>
                <v:shape id="Picture 35" style="position:absolute;width:16428;height:4349;left:13169;top:0;" filled="f">
                  <v:imagedata r:id="rId10"/>
                </v:shape>
                <v:shape id="Picture 37" style="position:absolute;width:12796;height:4025;left:29616;top:355;" filled="f">
                  <v:imagedata r:id="rId11"/>
                </v:shape>
                <v:shape id="Picture 39" style="position:absolute;width:29651;height:3702;left:42746;top:679;" filled="f">
                  <v:imagedata r:id="rId12"/>
                </v:shape>
              </v:group>
            </w:pict>
          </mc:Fallback>
        </mc:AlternateContent>
      </w:r>
      <w:r>
        <w:t xml:space="preserve"> </w:t>
      </w:r>
    </w:p>
    <w:p w:rsidR="005D1C67" w:rsidRDefault="00531C2E">
      <w:pPr>
        <w:spacing w:after="52" w:line="259" w:lineRule="auto"/>
        <w:ind w:left="2422" w:firstLine="0"/>
        <w:jc w:val="left"/>
      </w:pPr>
      <w:r>
        <w:rPr>
          <w:b/>
          <w:sz w:val="32"/>
        </w:rPr>
        <w:t xml:space="preserve">DNSH ERANTZUKIZUNPEKO ADIERAZPENA</w:t>
      </w:r>
      <w:r>
        <w:rPr>
          <w:b/>
          <w:sz w:val="32"/>
        </w:rPr>
        <w:t xml:space="preserve"> </w:t>
      </w:r>
    </w:p>
    <w:p w:rsidR="005D1C67" w:rsidRDefault="00531C2E">
      <w:pPr>
        <w:spacing w:after="11" w:line="250" w:lineRule="auto"/>
        <w:ind w:left="-1" w:firstLine="0"/>
        <w:jc w:val="left"/>
      </w:pPr>
      <w:r>
        <w:rPr>
          <w:sz w:val="28"/>
        </w:rPr>
        <w:t xml:space="preserve">NAFARROAKO FORU KOMUNITATEAREN </w:t>
      </w:r>
      <w:r>
        <w:rPr>
          <w:sz w:val="28"/>
          <w:b/>
          <w:bCs/>
        </w:rPr>
        <w:t xml:space="preserve">ERAIKINAK PROGRAMA</w:t>
      </w:r>
      <w:r>
        <w:rPr>
          <w:sz w:val="28"/>
        </w:rPr>
        <w:t xml:space="preserve">KO laguntzak emateko deialdia, Berreskuratze, Eraldaketa eta Erresilientzia Planaren esparruan (Europar Batasunak finantzatua – Next Generation EU)</w:t>
      </w:r>
      <w:r>
        <w:rPr>
          <w:sz w:val="28"/>
        </w:rPr>
        <w:t xml:space="preserve"> </w:t>
      </w:r>
    </w:p>
    <w:p w:rsidR="005D1C67" w:rsidRDefault="00531C2E">
      <w:pPr>
        <w:spacing w:after="107" w:line="250" w:lineRule="auto"/>
        <w:ind w:left="908" w:hanging="610"/>
        <w:jc w:val="left"/>
      </w:pPr>
      <w:r>
        <w:rPr>
          <w:sz w:val="28"/>
        </w:rPr>
        <w:t xml:space="preserve"> </w:t>
      </w:r>
    </w:p>
    <w:p w:rsidR="005D1C67" w:rsidRDefault="00531C2E">
      <w:pPr>
        <w:spacing w:after="18" w:line="259" w:lineRule="auto"/>
        <w:ind w:left="36" w:firstLine="0"/>
        <w:jc w:val="left"/>
      </w:pPr>
      <w:r>
        <w:rPr>
          <w:b/>
          <w:color w:val="000000"/>
          <w:sz w:val="28"/>
        </w:rPr>
        <w:t xml:space="preserve"> </w:t>
      </w:r>
    </w:p>
    <w:p w:rsidR="005D1C67" w:rsidRDefault="00531C2E">
      <w:pPr>
        <w:spacing w:after="9"/>
        <w:ind w:left="31" w:right="819"/>
      </w:pPr>
      <w:r>
        <w:t xml:space="preserve">………………………………… jaunak/andreak, ………………………………… zenbakidun NANa duenak, </w:t>
      </w:r>
      <w:r>
        <w:rPr>
          <w:i/>
          <w:color w:val="A6A6A6"/>
          <w:sz w:val="20"/>
        </w:rPr>
        <w:t xml:space="preserve">Teknikariaren titulazioa</w:t>
      </w:r>
      <w:r>
        <w:t xml:space="preserve">, ………………………………… elkargo ofizialekoa</w:t>
      </w:r>
      <w:r>
        <w:rPr>
          <w:i/>
          <w:color w:val="A6A6A6"/>
          <w:sz w:val="20"/>
        </w:rPr>
        <w:t xml:space="preserve"> </w:t>
      </w:r>
      <w:r>
        <w:t xml:space="preserve">denak (elkargokide zk.: ……....), …………………………………. IFZ duen ………………………………………………………ren izenean eta hura ordezkatuz,</w:t>
      </w:r>
      <w:r>
        <w:t xml:space="preserve"> </w:t>
      </w:r>
    </w:p>
    <w:p w:rsidR="005D1C67" w:rsidRDefault="00531C2E" w:rsidP="00531C2E">
      <w:pPr>
        <w:ind w:left="31" w:right="819"/>
      </w:pPr>
      <w:r>
        <w:t xml:space="preserve"> </w:t>
      </w:r>
    </w:p>
    <w:p w:rsidR="005D1C67" w:rsidRDefault="00531C2E">
      <w:pPr>
        <w:spacing w:after="60" w:line="259" w:lineRule="auto"/>
        <w:ind w:left="36" w:firstLine="0"/>
        <w:jc w:val="left"/>
      </w:pPr>
      <w:r>
        <w:rPr>
          <w:b/>
        </w:rPr>
        <w:t xml:space="preserve">HONAKO HAU ADIERAZTEN DU:</w:t>
      </w:r>
      <w:r>
        <w:rPr>
          <w:b/>
        </w:rPr>
        <w:t xml:space="preserve"> </w:t>
      </w:r>
    </w:p>
    <w:p w:rsidR="005D1C67" w:rsidRDefault="00531C2E">
      <w:pPr>
        <w:spacing w:after="262" w:line="239" w:lineRule="auto"/>
        <w:ind w:left="3107" w:right="269" w:hanging="3047"/>
        <w:jc w:val="left"/>
      </w:pPr>
      <w:r>
        <w:rPr>
          <w:b/>
          <w:sz w:val="20"/>
        </w:rPr>
        <w:t xml:space="preserve">(“Laguntza eskatzeko aurkeztu beharreko dokumentazioa” II. eranskineko I puntuaren betetze-maila; 140/2022 Ebazpena, martxoaren 4koa, Etxebizitzako zuzendari nagusiak emana)</w:t>
      </w:r>
      <w:r>
        <w:rPr>
          <w:b/>
          <w:sz w:val="20"/>
        </w:rPr>
        <w:t xml:space="preserve"> </w:t>
      </w:r>
    </w:p>
    <w:p w:rsidR="005D1C67" w:rsidRDefault="00531C2E">
      <w:pPr>
        <w:spacing w:after="349"/>
        <w:ind w:left="31" w:right="819"/>
      </w:pPr>
      <w:r>
        <w:t xml:space="preserve">Berreskuratze, Eraldatze eta Erresilientzia Planaren (BEEP) esparruko deialdi horri dagozkion laguntzak eskatzeko aurkeztutako “...........................................” </w:t>
      </w:r>
      <w:r>
        <w:rPr>
          <w:color w:val="000000"/>
        </w:rPr>
        <w:t xml:space="preserve">proiektuaren </w:t>
      </w:r>
      <w:r>
        <w:t xml:space="preserve">egilea da.</w:t>
      </w:r>
      <w:r>
        <w:t xml:space="preserve"> </w:t>
      </w:r>
    </w:p>
    <w:p w:rsidR="005D1C67" w:rsidRDefault="00531C2E">
      <w:pPr>
        <w:ind w:left="31" w:right="819"/>
      </w:pPr>
      <w:r>
        <w:t xml:space="preserve">Laguntzak eskatzeko aurkeztutako </w:t>
      </w:r>
      <w:r>
        <w:rPr>
          <w:color w:val="000000"/>
        </w:rPr>
        <w:t xml:space="preserve">proiektu</w:t>
      </w:r>
      <w:r>
        <w:t xml:space="preserve"> horrek eta programa horren barruko jarduerek honako hau betetzen dute:</w:t>
      </w:r>
      <w:r>
        <w:t xml:space="preserve"> </w:t>
      </w:r>
    </w:p>
    <w:p w:rsidR="005D1C67" w:rsidRDefault="00531C2E">
      <w:pPr>
        <w:numPr>
          <w:ilvl w:val="0"/>
          <w:numId w:val="1"/>
        </w:numPr>
        <w:ind w:right="819" w:hanging="252"/>
      </w:pPr>
      <w:r>
        <w:t xml:space="preserve">Bertan egiten diren jarduerek ez diete kalte nabarmenik eragiten ingurumen helburu hauei, ingurumenaren aldetik jasangarriak diren jarduera ekonomikoak sailkatzeko sistema (edo “taxonomia”) ezarriz </w:t>
      </w:r>
      <w:hyperlink r:id="rId14">
        <w:r>
          <w:t xml:space="preserve">inbertsio jasangarriak errazteko esparru bat ezartzeari buruzko</w:t>
        </w:r>
      </w:hyperlink>
      <w:hyperlink r:id="rId15">
        <w:r>
          <w:t xml:space="preserve"> </w:t>
        </w:r>
      </w:hyperlink>
      <w:hyperlink r:id="rId13">
        <w:r>
          <w:t xml:space="preserve">2020/852 (EB) Erregelamenduaren</w:t>
        </w:r>
      </w:hyperlink>
      <w:r>
        <w:t xml:space="preserve"> 17. artikuluaren arabera:</w:t>
      </w:r>
      <w:r>
        <w:t xml:space="preserve">  </w:t>
      </w:r>
    </w:p>
    <w:p w:rsidR="005D1C67" w:rsidRDefault="00531C2E">
      <w:pPr>
        <w:ind w:left="1174" w:right="819"/>
      </w:pPr>
      <w:r>
        <w:t xml:space="preserve">Klima aldaketa arintzea.</w:t>
      </w:r>
      <w:r>
        <w:t xml:space="preserve"> </w:t>
      </w:r>
    </w:p>
    <w:p w:rsidR="005D1C67" w:rsidRDefault="00531C2E">
      <w:pPr>
        <w:ind w:left="1174" w:right="819"/>
      </w:pPr>
      <w:r>
        <w:t xml:space="preserve">Klima aldaketara moldatzea.</w:t>
      </w:r>
      <w:r>
        <w:t xml:space="preserve"> </w:t>
      </w:r>
    </w:p>
    <w:p w:rsidR="005D1C67" w:rsidRDefault="00531C2E">
      <w:pPr>
        <w:ind w:left="1174" w:right="819"/>
      </w:pPr>
      <w:r>
        <w:t xml:space="preserve">Ur eta itsas baliabideak modu jasangarrian erabiltzea eta babestea.</w:t>
      </w:r>
      <w:r>
        <w:t xml:space="preserve"> </w:t>
      </w:r>
    </w:p>
    <w:p w:rsidR="005D1C67" w:rsidRDefault="00531C2E">
      <w:pPr>
        <w:ind w:left="1174" w:right="819"/>
      </w:pPr>
      <w:r>
        <w:t xml:space="preserve">Ekonomia zirkularra, hondakinen prebentzioa eta birziklapena barne.</w:t>
      </w:r>
      <w:r>
        <w:t xml:space="preserve"> </w:t>
      </w:r>
    </w:p>
    <w:p w:rsidR="005D1C67" w:rsidRDefault="00531C2E">
      <w:pPr>
        <w:ind w:left="1174" w:right="819"/>
      </w:pPr>
      <w:r>
        <w:t xml:space="preserve">Atmosferako, uretako edo lurzoruko kutsaduraren prebentzioa eta kontrola.</w:t>
      </w:r>
      <w:r>
        <w:t xml:space="preserve"> </w:t>
      </w:r>
    </w:p>
    <w:p w:rsidR="005D1C67" w:rsidRDefault="00531C2E">
      <w:pPr>
        <w:ind w:left="1174" w:right="819"/>
      </w:pPr>
      <w:r>
        <w:t xml:space="preserve">Biodibertsitatea eta ekosistemak babestea eta lehengoratzea.</w:t>
      </w:r>
      <w:r>
        <w:t xml:space="preserve"> </w:t>
      </w:r>
    </w:p>
    <w:p w:rsidR="005D1C67" w:rsidRDefault="00531C2E">
      <w:pPr>
        <w:numPr>
          <w:ilvl w:val="0"/>
          <w:numId w:val="1"/>
        </w:numPr>
        <w:spacing w:after="9"/>
        <w:ind w:right="819" w:hanging="252"/>
      </w:pPr>
      <w:r>
        <w:t xml:space="preserve">Jarduketek 691/2021 Errege Dekretuan ezarritako baldintzak betetzen dituzte, eta </w:t>
      </w:r>
      <w:hyperlink r:id="rId16">
        <w:r>
          <w:rPr>
            <w:u w:val="single" w:color="595959"/>
          </w:rPr>
          <w:t xml:space="preserve">2. osagaian</w:t>
        </w:r>
      </w:hyperlink>
      <w:hyperlink r:id="rId17">
        <w:r>
          <w:t xml:space="preserve"> </w:t>
        </w:r>
      </w:hyperlink>
      <w:r>
        <w:t xml:space="preserve">finkatutako ezaugarri eta baldintza espezifikoetara egokitzen dira, zeinak Berreskuratze, Eraldatze eta Erresilientzia Planean ingurumen helburu bakoitzerako jasota dauden:</w:t>
      </w:r>
      <w:r>
        <w:t xml:space="preserve"> </w:t>
      </w:r>
    </w:p>
    <w:tbl>
      <w:tblPr>
        <w:tblStyle w:val="TableGrid"/>
        <w:tblW w:w="9213" w:type="dxa"/>
        <w:tblInd w:w="177" w:type="dxa"/>
        <w:tblCellMar>
          <w:top w:w="98" w:type="dxa"/>
          <w:left w:w="108" w:type="dxa"/>
          <w:bottom w:w="0" w:type="dxa"/>
          <w:right w:w="70" w:type="dxa"/>
        </w:tblCellMar>
        <w:tblLook w:val="04A0" w:firstRow="1" w:lastRow="0" w:firstColumn="1" w:lastColumn="0" w:noHBand="0" w:noVBand="1"/>
      </w:tblPr>
      <w:tblGrid>
        <w:gridCol w:w="2123"/>
        <w:gridCol w:w="7090"/>
      </w:tblGrid>
      <w:tr w:rsidR="005D1C67">
        <w:trPr>
          <w:trHeight w:val="370"/>
        </w:trPr>
        <w:tc>
          <w:tcPr>
            <w:tcW w:w="2123" w:type="dxa"/>
            <w:tcBorders>
              <w:top w:val="nil"/>
              <w:left w:val="nil"/>
              <w:bottom w:val="nil"/>
              <w:right w:val="nil"/>
            </w:tcBorders>
            <w:shd w:val="clear" w:color="auto" w:fill="0989B1"/>
          </w:tcPr>
          <w:p w:rsidR="005D1C67" w:rsidRDefault="00531C2E">
            <w:pPr>
              <w:spacing w:after="0" w:line="259" w:lineRule="auto"/>
              <w:ind w:left="16" w:firstLine="0"/>
              <w:jc w:val="left"/>
            </w:pPr>
            <w:r>
              <w:rPr>
                <w:color w:val="FFFFFF"/>
                <w:sz w:val="18"/>
              </w:rPr>
              <w:t xml:space="preserve">Ingurumen helburuak</w:t>
            </w:r>
            <w:r>
              <w:rPr>
                <w:color w:val="FFFFFF"/>
                <w:sz w:val="18"/>
              </w:rPr>
              <w:t xml:space="preserve"> </w:t>
            </w:r>
          </w:p>
        </w:tc>
        <w:tc>
          <w:tcPr>
            <w:tcW w:w="7091" w:type="dxa"/>
            <w:tcBorders>
              <w:top w:val="nil"/>
              <w:left w:val="nil"/>
              <w:bottom w:val="nil"/>
              <w:right w:val="nil"/>
            </w:tcBorders>
            <w:shd w:val="clear" w:color="auto" w:fill="0989B1"/>
          </w:tcPr>
          <w:p w:rsidR="005D1C67" w:rsidRDefault="00531C2E">
            <w:pPr>
              <w:spacing w:after="0" w:line="259" w:lineRule="auto"/>
              <w:ind w:left="0" w:right="46" w:firstLine="0"/>
              <w:jc w:val="center"/>
            </w:pPr>
            <w:r>
              <w:rPr>
                <w:color w:val="FFFFFF"/>
                <w:sz w:val="18"/>
              </w:rPr>
              <w:t xml:space="preserve">Jarduketek bete beharreko baldintza espezifikoak</w:t>
            </w:r>
            <w:r>
              <w:rPr>
                <w:color w:val="FFFFFF"/>
                <w:sz w:val="18"/>
              </w:rPr>
              <w:t xml:space="preserve"> </w:t>
            </w:r>
          </w:p>
        </w:tc>
      </w:tr>
      <w:tr w:rsidR="005D1C67">
        <w:trPr>
          <w:trHeight w:val="566"/>
        </w:trPr>
        <w:tc>
          <w:tcPr>
            <w:tcW w:w="2123" w:type="dxa"/>
            <w:tcBorders>
              <w:top w:val="nil"/>
              <w:left w:val="single" w:sz="4" w:space="0" w:color="0989B1"/>
              <w:bottom w:val="single" w:sz="6" w:space="0" w:color="0989B1"/>
              <w:right w:val="single" w:sz="6" w:space="0" w:color="0989B1"/>
            </w:tcBorders>
          </w:tcPr>
          <w:p w:rsidR="005D1C67" w:rsidRDefault="00531C2E">
            <w:pPr>
              <w:spacing w:after="0" w:line="259" w:lineRule="auto"/>
              <w:ind w:left="1" w:firstLine="0"/>
              <w:jc w:val="left"/>
            </w:pPr>
            <w:r>
              <w:rPr>
                <w:sz w:val="18"/>
              </w:rPr>
              <w:t xml:space="preserve">1.</w:t>
            </w:r>
            <w:r>
              <w:rPr>
                <w:sz w:val="18"/>
              </w:rPr>
              <w:t xml:space="preserve"> </w:t>
            </w:r>
            <w:r>
              <w:rPr>
                <w:sz w:val="18"/>
              </w:rPr>
              <w:t xml:space="preserve">Klima aldaketa arintzea</w:t>
            </w:r>
            <w:r>
              <w:rPr>
                <w:sz w:val="18"/>
              </w:rPr>
              <w:t xml:space="preserve"> </w:t>
            </w:r>
          </w:p>
        </w:tc>
        <w:tc>
          <w:tcPr>
            <w:tcW w:w="7091" w:type="dxa"/>
            <w:tcBorders>
              <w:top w:val="nil"/>
              <w:left w:val="single" w:sz="6" w:space="0" w:color="0989B1"/>
              <w:bottom w:val="single" w:sz="6" w:space="0" w:color="0989B1"/>
              <w:right w:val="single" w:sz="6" w:space="0" w:color="0989B1"/>
            </w:tcBorders>
          </w:tcPr>
          <w:p w:rsidR="005D1C67" w:rsidRDefault="00531C2E">
            <w:pPr>
              <w:spacing w:after="0" w:line="259" w:lineRule="auto"/>
              <w:ind w:left="0" w:firstLine="0"/>
            </w:pPr>
            <w:r>
              <w:rPr>
                <w:sz w:val="18"/>
                <w:b/>
                <w:bCs/>
              </w:rPr>
              <w:t xml:space="preserve">Energia efizientzia</w:t>
            </w:r>
            <w:r>
              <w:rPr>
                <w:sz w:val="18"/>
              </w:rPr>
              <w:t xml:space="preserve"> hobetuko da </w:t>
            </w:r>
            <w:r>
              <w:rPr>
                <w:sz w:val="18"/>
                <w:b/>
                <w:bCs/>
              </w:rPr>
              <w:t xml:space="preserve">2010/31/EU Zuzentarau</w:t>
            </w:r>
            <w:r>
              <w:rPr>
                <w:sz w:val="18"/>
              </w:rPr>
              <w:t xml:space="preserve">aren arabera.</w:t>
            </w:r>
            <w:r>
              <w:rPr>
                <w:sz w:val="18"/>
              </w:rPr>
              <w:t xml:space="preserve"> </w:t>
            </w:r>
            <w:r>
              <w:rPr>
                <w:sz w:val="18"/>
              </w:rPr>
              <w:t xml:space="preserve">Horrek kontsumo txikiagoak eraginen ditu eta, ondorioz, BEG emisio gutxiago.*</w:t>
            </w:r>
            <w:r>
              <w:rPr>
                <w:sz w:val="18"/>
              </w:rPr>
              <w:t xml:space="preserve"> </w:t>
            </w:r>
          </w:p>
        </w:tc>
      </w:tr>
      <w:tr w:rsidR="005D1C67">
        <w:trPr>
          <w:trHeight w:val="576"/>
        </w:trPr>
        <w:tc>
          <w:tcPr>
            <w:tcW w:w="2123" w:type="dxa"/>
            <w:tcBorders>
              <w:top w:val="single" w:sz="6" w:space="0" w:color="0989B1"/>
              <w:left w:val="single" w:sz="4" w:space="0" w:color="0989B1"/>
              <w:bottom w:val="single" w:sz="6" w:space="0" w:color="0989B1"/>
              <w:right w:val="single" w:sz="6" w:space="0" w:color="0989B1"/>
            </w:tcBorders>
          </w:tcPr>
          <w:p w:rsidR="005D1C67" w:rsidRDefault="00531C2E">
            <w:pPr>
              <w:spacing w:after="0" w:line="259" w:lineRule="auto"/>
              <w:ind w:left="1" w:firstLine="0"/>
              <w:jc w:val="left"/>
            </w:pPr>
            <w:r>
              <w:rPr>
                <w:sz w:val="18"/>
              </w:rPr>
              <w:t xml:space="preserve">2.</w:t>
            </w:r>
            <w:r>
              <w:rPr>
                <w:sz w:val="18"/>
              </w:rPr>
              <w:t xml:space="preserve"> </w:t>
            </w:r>
            <w:r>
              <w:rPr>
                <w:sz w:val="18"/>
              </w:rPr>
              <w:t xml:space="preserve">Klima aldaketara moldatzea</w:t>
            </w:r>
            <w:r>
              <w:rPr>
                <w:sz w:val="18"/>
              </w:rPr>
              <w:t xml:space="preserve"> </w:t>
            </w:r>
          </w:p>
        </w:tc>
        <w:tc>
          <w:tcPr>
            <w:tcW w:w="7091" w:type="dxa"/>
            <w:tcBorders>
              <w:top w:val="single" w:sz="6" w:space="0" w:color="0989B1"/>
              <w:left w:val="single" w:sz="6" w:space="0" w:color="0989B1"/>
              <w:bottom w:val="single" w:sz="6" w:space="0" w:color="0989B1"/>
              <w:right w:val="single" w:sz="6" w:space="0" w:color="0989B1"/>
            </w:tcBorders>
          </w:tcPr>
          <w:p w:rsidR="005D1C67" w:rsidRDefault="00531C2E">
            <w:pPr>
              <w:spacing w:after="0" w:line="259" w:lineRule="auto"/>
              <w:ind w:left="0" w:firstLine="0"/>
            </w:pPr>
            <w:r>
              <w:rPr>
                <w:sz w:val="18"/>
              </w:rPr>
              <w:t xml:space="preserve">Ez da baldintza espezifikorik zehazten, jarduketek helburu hori hobetzea dakarte (eraikinen eta ingurunearen baldintzak hobetzea).</w:t>
            </w:r>
            <w:r>
              <w:rPr>
                <w:sz w:val="18"/>
              </w:rPr>
              <w:t xml:space="preserve">   </w:t>
            </w:r>
          </w:p>
        </w:tc>
      </w:tr>
      <w:tr w:rsidR="005D1C67">
        <w:trPr>
          <w:trHeight w:val="574"/>
        </w:trPr>
        <w:tc>
          <w:tcPr>
            <w:tcW w:w="2123" w:type="dxa"/>
            <w:tcBorders>
              <w:top w:val="single" w:sz="6" w:space="0" w:color="0989B1"/>
              <w:left w:val="single" w:sz="4" w:space="0" w:color="0989B1"/>
              <w:bottom w:val="single" w:sz="6" w:space="0" w:color="0989B1"/>
              <w:right w:val="single" w:sz="6" w:space="0" w:color="0989B1"/>
            </w:tcBorders>
          </w:tcPr>
          <w:p w:rsidR="005D1C67" w:rsidRDefault="00531C2E">
            <w:pPr>
              <w:spacing w:after="0" w:line="259" w:lineRule="auto"/>
              <w:ind w:left="1" w:firstLine="0"/>
              <w:jc w:val="left"/>
            </w:pPr>
            <w:r>
              <w:rPr>
                <w:sz w:val="18"/>
              </w:rPr>
              <w:t xml:space="preserve">3.</w:t>
            </w:r>
            <w:r>
              <w:rPr>
                <w:sz w:val="18"/>
              </w:rPr>
              <w:t xml:space="preserve"> </w:t>
            </w:r>
            <w:r>
              <w:rPr>
                <w:sz w:val="18"/>
              </w:rPr>
              <w:t xml:space="preserve">Ur eta itsas baliabideak</w:t>
            </w:r>
            <w:r>
              <w:rPr>
                <w:sz w:val="18"/>
              </w:rPr>
              <w:t xml:space="preserve"> </w:t>
            </w:r>
          </w:p>
        </w:tc>
        <w:tc>
          <w:tcPr>
            <w:tcW w:w="7091" w:type="dxa"/>
            <w:tcBorders>
              <w:top w:val="single" w:sz="6" w:space="0" w:color="0989B1"/>
              <w:left w:val="single" w:sz="6" w:space="0" w:color="0989B1"/>
              <w:bottom w:val="single" w:sz="6" w:space="0" w:color="0989B1"/>
              <w:right w:val="single" w:sz="6" w:space="0" w:color="0989B1"/>
            </w:tcBorders>
          </w:tcPr>
          <w:p w:rsidR="005D1C67" w:rsidRDefault="00531C2E">
            <w:pPr>
              <w:spacing w:after="0" w:line="259" w:lineRule="auto"/>
              <w:ind w:left="0" w:firstLine="0"/>
            </w:pPr>
            <w:r>
              <w:rPr>
                <w:sz w:val="18"/>
              </w:rPr>
              <w:t xml:space="preserve">Ez da baldintza espezifikorik zehazten, jarduketek ez baitute eragin nabarmenik izan behar helburu horretan.</w:t>
            </w:r>
            <w:r>
              <w:rPr>
                <w:sz w:val="18"/>
              </w:rPr>
              <w:t xml:space="preserve"> </w:t>
            </w:r>
          </w:p>
        </w:tc>
      </w:tr>
      <w:tr w:rsidR="005D1C67">
        <w:trPr>
          <w:trHeight w:val="353"/>
        </w:trPr>
        <w:tc>
          <w:tcPr>
            <w:tcW w:w="2123" w:type="dxa"/>
            <w:tcBorders>
              <w:top w:val="single" w:sz="6" w:space="0" w:color="0989B1"/>
              <w:left w:val="single" w:sz="4" w:space="0" w:color="0989B1"/>
              <w:bottom w:val="single" w:sz="4" w:space="0" w:color="0989B1"/>
              <w:right w:val="single" w:sz="6" w:space="0" w:color="0989B1"/>
            </w:tcBorders>
          </w:tcPr>
          <w:p w:rsidR="005D1C67" w:rsidRDefault="00531C2E">
            <w:pPr>
              <w:spacing w:after="0" w:line="259" w:lineRule="auto"/>
              <w:ind w:left="1" w:firstLine="0"/>
              <w:jc w:val="left"/>
            </w:pPr>
            <w:r>
              <w:rPr>
                <w:sz w:val="18"/>
              </w:rPr>
              <w:t xml:space="preserve">4.</w:t>
            </w:r>
            <w:r>
              <w:rPr>
                <w:sz w:val="18"/>
              </w:rPr>
              <w:t xml:space="preserve"> </w:t>
            </w:r>
            <w:r>
              <w:rPr>
                <w:sz w:val="18"/>
              </w:rPr>
              <w:t xml:space="preserve">Ekonomia zirkularra</w:t>
            </w:r>
            <w:r>
              <w:rPr>
                <w:sz w:val="18"/>
              </w:rPr>
              <w:t xml:space="preserve"> </w:t>
            </w:r>
          </w:p>
        </w:tc>
        <w:tc>
          <w:tcPr>
            <w:tcW w:w="7091" w:type="dxa"/>
            <w:tcBorders>
              <w:top w:val="single" w:sz="6" w:space="0" w:color="0989B1"/>
              <w:left w:val="single" w:sz="6" w:space="0" w:color="0989B1"/>
              <w:bottom w:val="single" w:sz="4" w:space="0" w:color="0989B1"/>
              <w:right w:val="single" w:sz="6" w:space="0" w:color="0989B1"/>
            </w:tcBorders>
          </w:tcPr>
          <w:p w:rsidR="005D1C67" w:rsidRDefault="00531C2E">
            <w:pPr>
              <w:spacing w:after="0" w:line="259" w:lineRule="auto"/>
              <w:ind w:left="0" w:firstLine="0"/>
              <w:jc w:val="left"/>
            </w:pPr>
            <w:r>
              <w:rPr>
                <w:sz w:val="18"/>
                <w:b/>
                <w:bCs/>
              </w:rPr>
              <w:t xml:space="preserve">Proiektu mailako baldintza espezifikoak:</w:t>
            </w:r>
            <w:r>
              <w:rPr>
                <w:sz w:val="18"/>
                <w:vertAlign w:val="superscript"/>
              </w:rPr>
              <w:t xml:space="preserve">*</w:t>
            </w:r>
            <w:r>
              <w:rPr>
                <w:sz w:val="18"/>
                <w:b/>
              </w:rPr>
              <w:t xml:space="preserve"> </w:t>
            </w:r>
          </w:p>
        </w:tc>
      </w:tr>
    </w:tbl>
    <w:p w:rsidR="005D1C67" w:rsidRDefault="00531C2E">
      <w:pPr>
        <w:spacing w:after="0" w:line="259" w:lineRule="auto"/>
        <w:ind w:left="36" w:firstLine="0"/>
        <w:jc w:val="left"/>
      </w:pPr>
      <w:r>
        <w:rPr>
          <w:sz w:val="16"/>
        </w:rPr>
        <w:t xml:space="preserve"> </w:t>
      </w:r>
    </w:p>
    <w:p w:rsidR="005D1C67" w:rsidRDefault="00531C2E">
      <w:pPr>
        <w:spacing w:after="0" w:line="259" w:lineRule="auto"/>
        <w:ind w:left="10" w:right="783"/>
        <w:jc w:val="right"/>
      </w:pPr>
      <w:r>
        <w:rPr>
          <w:color w:val="000000"/>
          <w:sz w:val="16"/>
        </w:rPr>
        <w:t xml:space="preserve">Etxebizitza Zerbitzua</w:t>
      </w:r>
      <w:r>
        <w:rPr>
          <w:color w:val="000000"/>
          <w:sz w:val="16"/>
        </w:rPr>
        <w:t xml:space="preserve"> </w:t>
      </w:r>
    </w:p>
    <w:p w:rsidR="005D1C67" w:rsidRDefault="00531C2E">
      <w:pPr>
        <w:tabs>
          <w:tab w:val="center" w:pos="4429"/>
          <w:tab w:val="center" w:pos="8230"/>
        </w:tabs>
        <w:spacing w:after="0" w:line="259" w:lineRule="auto"/>
        <w:ind w:left="0" w:firstLine="0"/>
        <w:jc w:val="left"/>
      </w:pPr>
      <w:r>
        <w:rPr>
          <w:color w:val="000000"/>
        </w:rPr>
        <w:tab/>
      </w:r>
      <w:r>
        <w:rPr>
          <w:b/>
          <w:sz w:val="18"/>
        </w:rPr>
        <w:t xml:space="preserve"> </w:t>
      </w:r>
      <w:r>
        <w:rPr>
          <w:b/>
          <w:sz w:val="18"/>
        </w:rPr>
        <w:tab/>
      </w:r>
      <w:r>
        <w:rPr>
          <w:color w:val="000000"/>
          <w:sz w:val="16"/>
        </w:rPr>
        <w:t xml:space="preserve">Alondegi kalea 1, 1. solairua - Iruña</w:t>
      </w:r>
      <w:r>
        <w:rPr>
          <w:color w:val="000000"/>
          <w:sz w:val="16"/>
        </w:rPr>
        <w:t xml:space="preserve"> </w:t>
      </w:r>
    </w:p>
    <w:p w:rsidR="005D1C67" w:rsidRDefault="00531C2E">
      <w:pPr>
        <w:spacing w:after="0" w:line="259" w:lineRule="auto"/>
        <w:ind w:left="-5"/>
        <w:jc w:val="left"/>
      </w:pPr>
      <w:r>
        <w:rPr>
          <w:sz w:val="16"/>
          <w:color w:val="000000"/>
        </w:rPr>
        <w:t xml:space="preserve">Orrialdea: 1 / 2</w:t>
      </w:r>
      <w:r>
        <w:rPr>
          <w:sz w:val="16"/>
          <w:color w:val="009CC4"/>
        </w:rPr>
        <w:t xml:space="preserve"> </w:t>
      </w:r>
    </w:p>
    <w:p w:rsidR="005D1C67" w:rsidRDefault="00531C2E">
      <w:pPr>
        <w:tabs>
          <w:tab w:val="center" w:pos="4429"/>
          <w:tab w:val="center" w:pos="8745"/>
        </w:tabs>
        <w:spacing w:after="0" w:line="259" w:lineRule="auto"/>
        <w:ind w:left="0" w:firstLine="0"/>
        <w:jc w:val="left"/>
      </w:pPr>
      <w:r>
        <w:rPr>
          <w:color w:val="000000"/>
        </w:rPr>
        <w:tab/>
      </w:r>
      <w:r>
        <w:rPr>
          <w:b/>
          <w:sz w:val="18"/>
        </w:rPr>
        <w:t xml:space="preserve"> </w:t>
      </w:r>
      <w:r>
        <w:rPr>
          <w:b/>
          <w:sz w:val="18"/>
        </w:rPr>
        <w:tab/>
      </w:r>
      <w:hyperlink r:id="rId18">
        <w:r>
          <w:rPr>
            <w:color w:val="0000FF"/>
            <w:sz w:val="16"/>
            <w:u w:val="single" w:color="0000FF"/>
          </w:rPr>
          <w:t xml:space="preserve">www.vivienda.navarra.es</w:t>
        </w:r>
      </w:hyperlink>
    </w:p>
    <w:p w:rsidR="005D1C67" w:rsidRDefault="00531C2E" w:rsidP="00531C2E">
      <w:pPr>
        <w:spacing w:after="0" w:line="259" w:lineRule="auto"/>
        <w:ind w:left="0" w:right="760" w:firstLine="0"/>
        <w:jc w:val="right"/>
      </w:pPr>
      <w:r>
        <w:rPr>
          <w:color w:val="000000"/>
          <w:sz w:val="16"/>
        </w:rPr>
        <w:t xml:space="preserve"> </w:t>
      </w:r>
    </w:p>
    <w:p w:rsidR="005D1C67" w:rsidRDefault="00531C2E">
      <w:pPr>
        <w:spacing w:after="0" w:line="259" w:lineRule="auto"/>
        <w:ind w:left="-1099" w:firstLine="0"/>
        <w:jc w:val="right"/>
      </w:pPr>
      <w:r>
        <w:rPr>
          <w:color w:val="000000"/>
        </w:rPr>
        <mc:AlternateContent>
          <mc:Choice Requires="wpg">
            <w:drawing>
              <wp:inline distT="0" distB="0" distL="0" distR="0">
                <wp:extent cx="7239888" cy="475169"/>
                <wp:effectExtent l="0" t="0" r="0" b="0"/>
                <wp:docPr id="3572" name="Group 3572"/>
                <wp:cNvGraphicFramePr/>
                <a:graphic xmlns:a="http://schemas.openxmlformats.org/drawingml/2006/main">
                  <a:graphicData uri="http://schemas.microsoft.com/office/word/2010/wordprocessingGroup">
                    <wpg:wgp>
                      <wpg:cNvGrpSpPr/>
                      <wpg:grpSpPr>
                        <a:xfrm>
                          <a:off x="0" y="0"/>
                          <a:ext cx="7239888" cy="475169"/>
                          <a:chOff x="0" y="0"/>
                          <a:chExt cx="7239888" cy="475169"/>
                        </a:xfrm>
                      </wpg:grpSpPr>
                      <wps:wsp>
                        <wps:cNvPr id="250" name="Rectangle 250"/>
                        <wps:cNvSpPr/>
                        <wps:spPr>
                          <a:xfrm>
                            <a:off x="4243450" y="332359"/>
                            <a:ext cx="42143" cy="189937"/>
                          </a:xfrm>
                          <a:prstGeom prst="rect">
                            <a:avLst/>
                          </a:prstGeom>
                          <a:ln>
                            <a:noFill/>
                          </a:ln>
                        </wps:spPr>
                        <wps:txbx>
                          <w:txbxContent>
                            <w:p w:rsidR="005D1C67" w:rsidRDefault="00531C2E">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276" name="Picture 276"/>
                          <pic:cNvPicPr/>
                        </pic:nvPicPr>
                        <pic:blipFill>
                          <a:blip r:embed="rId5"/>
                          <a:stretch>
                            <a:fillRect/>
                          </a:stretch>
                        </pic:blipFill>
                        <pic:spPr>
                          <a:xfrm>
                            <a:off x="0" y="35560"/>
                            <a:ext cx="1315593" cy="402590"/>
                          </a:xfrm>
                          <a:prstGeom prst="rect">
                            <a:avLst/>
                          </a:prstGeom>
                        </pic:spPr>
                      </pic:pic>
                      <pic:pic xmlns:pic="http://schemas.openxmlformats.org/drawingml/2006/picture">
                        <pic:nvPicPr>
                          <pic:cNvPr id="278" name="Picture 278"/>
                          <pic:cNvPicPr/>
                        </pic:nvPicPr>
                        <pic:blipFill>
                          <a:blip r:embed="rId6"/>
                          <a:stretch>
                            <a:fillRect/>
                          </a:stretch>
                        </pic:blipFill>
                        <pic:spPr>
                          <a:xfrm>
                            <a:off x="1316989" y="0"/>
                            <a:ext cx="1642872" cy="434975"/>
                          </a:xfrm>
                          <a:prstGeom prst="rect">
                            <a:avLst/>
                          </a:prstGeom>
                        </pic:spPr>
                      </pic:pic>
                      <pic:pic xmlns:pic="http://schemas.openxmlformats.org/drawingml/2006/picture">
                        <pic:nvPicPr>
                          <pic:cNvPr id="280" name="Picture 280"/>
                          <pic:cNvPicPr/>
                        </pic:nvPicPr>
                        <pic:blipFill>
                          <a:blip r:embed="rId7"/>
                          <a:stretch>
                            <a:fillRect/>
                          </a:stretch>
                        </pic:blipFill>
                        <pic:spPr>
                          <a:xfrm>
                            <a:off x="2961639" y="35560"/>
                            <a:ext cx="1279652" cy="402590"/>
                          </a:xfrm>
                          <a:prstGeom prst="rect">
                            <a:avLst/>
                          </a:prstGeom>
                        </pic:spPr>
                      </pic:pic>
                      <pic:pic xmlns:pic="http://schemas.openxmlformats.org/drawingml/2006/picture">
                        <pic:nvPicPr>
                          <pic:cNvPr id="282" name="Picture 282"/>
                          <pic:cNvPicPr/>
                        </pic:nvPicPr>
                        <pic:blipFill>
                          <a:blip r:embed="rId8"/>
                          <a:stretch>
                            <a:fillRect/>
                          </a:stretch>
                        </pic:blipFill>
                        <pic:spPr>
                          <a:xfrm>
                            <a:off x="4274692" y="67945"/>
                            <a:ext cx="2965196" cy="370205"/>
                          </a:xfrm>
                          <a:prstGeom prst="rect">
                            <a:avLst/>
                          </a:prstGeom>
                        </pic:spPr>
                      </pic:pic>
                    </wpg:wgp>
                  </a:graphicData>
                </a:graphic>
              </wp:inline>
            </w:drawing>
          </mc:Choice>
          <mc:Fallback xmlns:a="http://schemas.openxmlformats.org/drawingml/2006/main">
            <w:pict>
              <v:group id="Group 3572" style="width:570.07pt;height:37.4149pt;mso-position-horizontal-relative:char;mso-position-vertical-relative:line" coordsize="72398,4751">
                <v:rect id="Rectangle 250" style="position:absolute;width:421;height:1899;left:42434;top:3323;" filled="f" stroked="f">
                  <v:textbox inset="0,0,0,0">
                    <w:txbxContent>
                      <w:p>
                        <w:pPr>
                          <w:spacing w:before="0" w:after="160" w:line="259" w:lineRule="auto"/>
                          <w:ind w:left="0" w:firstLine="0"/>
                          <w:jc w:val="left"/>
                        </w:pPr>
                        <w:r>
                          <w:t xml:space="preserve"> </w:t>
                        </w:r>
                      </w:p>
                    </w:txbxContent>
                  </v:textbox>
                </v:rect>
                <v:shape id="Picture 276" style="position:absolute;width:13155;height:4025;left:0;top:355;" filled="f">
                  <v:imagedata r:id="rId9"/>
                </v:shape>
                <v:shape id="Picture 278" style="position:absolute;width:16428;height:4349;left:13169;top:0;" filled="f">
                  <v:imagedata r:id="rId10"/>
                </v:shape>
                <v:shape id="Picture 280" style="position:absolute;width:12796;height:4025;left:29616;top:355;" filled="f">
                  <v:imagedata r:id="rId11"/>
                </v:shape>
                <v:shape id="Picture 282" style="position:absolute;width:29651;height:3702;left:42746;top:679;" filled="f">
                  <v:imagedata r:id="rId12"/>
                </v:shape>
              </v:group>
            </w:pict>
          </mc:Fallback>
        </mc:AlternateContent>
      </w:r>
      <w:r>
        <w:t xml:space="preserve"> </w:t>
      </w:r>
    </w:p>
    <w:p w:rsidR="005D1C67" w:rsidRDefault="00531C2E">
      <w:pPr>
        <w:spacing w:after="172" w:line="259" w:lineRule="auto"/>
        <w:ind w:left="36" w:firstLine="0"/>
        <w:jc w:val="left"/>
      </w:pPr>
      <w:r>
        <w:rPr>
          <w:color w:val="000000"/>
          <w:sz w:val="12"/>
          <w:rFonts w:ascii="Times New Roman" w:hAnsi="Times New Roman"/>
        </w:rPr>
        <w:t xml:space="preserve"> </w:t>
      </w:r>
      <w:r>
        <w:rPr>
          <w:color w:val="000000"/>
          <w:sz w:val="12"/>
          <w:rFonts w:ascii="Times New Roman" w:hAnsi="Times New Roman"/>
        </w:rPr>
        <w:tab/>
      </w:r>
      <w:r>
        <w:rPr>
          <w:color w:val="000000"/>
          <w:sz w:val="12"/>
          <w:rFonts w:ascii="Times New Roman" w:hAnsi="Times New Roman"/>
        </w:rPr>
        <w:t xml:space="preserve"> </w:t>
      </w:r>
    </w:p>
    <w:tbl>
      <w:tblPr>
        <w:tblStyle w:val="TableGrid"/>
        <w:tblW w:w="9210" w:type="dxa"/>
        <w:tblInd w:w="178" w:type="dxa"/>
        <w:tblCellMar>
          <w:top w:w="45" w:type="dxa"/>
          <w:left w:w="108" w:type="dxa"/>
          <w:bottom w:w="0" w:type="dxa"/>
          <w:right w:w="67" w:type="dxa"/>
        </w:tblCellMar>
        <w:tblLook w:val="04A0" w:firstRow="1" w:lastRow="0" w:firstColumn="1" w:lastColumn="0" w:noHBand="0" w:noVBand="1"/>
      </w:tblPr>
      <w:tblGrid>
        <w:gridCol w:w="2122"/>
        <w:gridCol w:w="7088"/>
      </w:tblGrid>
      <w:tr w:rsidR="005D1C67">
        <w:trPr>
          <w:trHeight w:val="4810"/>
        </w:trPr>
        <w:tc>
          <w:tcPr>
            <w:tcW w:w="2122" w:type="dxa"/>
            <w:tcBorders>
              <w:top w:val="single" w:sz="6" w:space="0" w:color="0989B1"/>
              <w:left w:val="single" w:sz="4" w:space="0" w:color="0989B1"/>
              <w:bottom w:val="single" w:sz="6" w:space="0" w:color="0989B1"/>
              <w:right w:val="single" w:sz="6" w:space="0" w:color="0989B1"/>
            </w:tcBorders>
          </w:tcPr>
          <w:p w:rsidR="005D1C67" w:rsidRDefault="005D1C67">
            <w:pPr>
              <w:spacing w:after="160" w:line="259" w:lineRule="auto"/>
              <w:ind w:left="0" w:firstLine="0"/>
              <w:jc w:val="left"/>
            </w:pPr>
          </w:p>
        </w:tc>
        <w:tc>
          <w:tcPr>
            <w:tcW w:w="7089" w:type="dxa"/>
            <w:tcBorders>
              <w:top w:val="single" w:sz="6" w:space="0" w:color="0989B1"/>
              <w:left w:val="single" w:sz="6" w:space="0" w:color="0989B1"/>
              <w:bottom w:val="single" w:sz="6" w:space="0" w:color="0989B1"/>
              <w:right w:val="single" w:sz="6" w:space="0" w:color="0989B1"/>
            </w:tcBorders>
          </w:tcPr>
          <w:p w:rsidR="005D1C67" w:rsidRDefault="00531C2E">
            <w:pPr>
              <w:numPr>
                <w:ilvl w:val="0"/>
                <w:numId w:val="2"/>
              </w:numPr>
              <w:spacing w:after="57" w:line="242" w:lineRule="auto"/>
              <w:ind w:right="43" w:firstLine="0"/>
            </w:pPr>
            <w:r>
              <w:rPr>
                <w:sz w:val="18"/>
              </w:rPr>
              <w:t xml:space="preserve">Eraikuntza lekuan sortutako </w:t>
            </w:r>
            <w:r>
              <w:rPr>
                <w:sz w:val="18"/>
                <w:b/>
                <w:bCs/>
              </w:rPr>
              <w:t xml:space="preserve">eraikuntzako eta eraispeneko hondakin ez-arriskutsuen % 70</w:t>
            </w:r>
            <w:r>
              <w:rPr>
                <w:sz w:val="18"/>
                <w:b/>
                <w:bCs/>
                <w:b/>
                <w:bCs/>
              </w:rPr>
              <w:t xml:space="preserve"> (pisuan)</w:t>
            </w:r>
            <w:r>
              <w:rPr>
                <w:sz w:val="18"/>
                <w:b/>
                <w:bCs/>
              </w:rPr>
              <w:t xml:space="preserve">,</w:t>
            </w:r>
            <w:r>
              <w:rPr>
                <w:sz w:val="18"/>
              </w:rPr>
              <w:t xml:space="preserve"> gutxienez,–alde batera utzita 2000/532/EC Erabakiak ezarritako Europako Hondakinen Zerrendan 17 05 04 kategorian aipatutako material naturala– </w:t>
            </w:r>
            <w:r>
              <w:rPr>
                <w:sz w:val="18"/>
                <w:b/>
                <w:bCs/>
              </w:rPr>
              <w:t xml:space="preserve">berrerabiltzeko, birziklatzeko eta balorizatzeko</w:t>
            </w:r>
            <w:r>
              <w:rPr>
                <w:sz w:val="18"/>
              </w:rPr>
              <w:t xml:space="preserve"> prestatuko dira, betelanak barne, hondakinak beste material batzuk ordezkatzeko erabil daitezen, Hondakin eta lurzoru kutsatuei buruzko uztailaren 28ko 22/2011 Legearen 8. artikuluan ezarritako kutsadura hierarkiarekin eta Eraikuntzako eta eraispeneko hondakinak kudeatzeko Europako protokoloarekin bat etorriz.</w:t>
            </w:r>
            <w:r>
              <w:rPr>
                <w:sz w:val="18"/>
              </w:rPr>
              <w:t xml:space="preserve"> </w:t>
            </w:r>
          </w:p>
          <w:p w:rsidR="005D1C67" w:rsidRDefault="00531C2E">
            <w:pPr>
              <w:numPr>
                <w:ilvl w:val="0"/>
                <w:numId w:val="2"/>
              </w:numPr>
              <w:spacing w:after="59" w:line="240" w:lineRule="auto"/>
              <w:ind w:right="43" w:firstLine="0"/>
            </w:pPr>
            <w:r>
              <w:rPr>
                <w:sz w:val="18"/>
              </w:rPr>
              <w:t xml:space="preserve">Operadoreek </w:t>
            </w:r>
            <w:r>
              <w:rPr>
                <w:sz w:val="18"/>
                <w:b/>
                <w:bCs/>
              </w:rPr>
              <w:t xml:space="preserve">hondakinen sorrera mugatu beharko dute eraikuntzarekin eta eraispenarekin lotutako prozesuetan</w:t>
            </w:r>
            <w:r>
              <w:rPr>
                <w:sz w:val="18"/>
              </w:rPr>
              <w:t xml:space="preserve">, EBko eraikuntzako eta eraispeneko hondakinak kudeatzeko protokoloarekin bat etorriz eta teknika erabilgarri onenak kontuan hartuta, eta eraispen selektiboa erabiliz, substantzia arriskutsuak segurtasunez ezabatu eta manipulatu ahal izateko eta materialak selektiboki ezabatuz kalitate handiko berrerabilera eta birziklatzea errazteko, eraikuntzako eta eraispeneko hondakinetarako eskuragarri dauden sailkapen sistemak erabiliz.</w:t>
            </w:r>
            <w:r>
              <w:rPr>
                <w:sz w:val="18"/>
              </w:rPr>
              <w:t xml:space="preserve"> </w:t>
            </w:r>
            <w:r>
              <w:rPr>
                <w:sz w:val="18"/>
              </w:rPr>
              <w:t xml:space="preserve">Era berean, eraispena ahal dela gaika eginen da, eta sailkapena hondakinak sortzen diren lekuan eginen da lehentasunez.</w:t>
            </w:r>
            <w:r>
              <w:rPr>
                <w:sz w:val="18"/>
              </w:rPr>
              <w:t xml:space="preserve"> </w:t>
            </w:r>
          </w:p>
          <w:p w:rsidR="005D1C67" w:rsidRDefault="00531C2E">
            <w:pPr>
              <w:numPr>
                <w:ilvl w:val="0"/>
                <w:numId w:val="2"/>
              </w:numPr>
              <w:spacing w:after="0" w:line="259" w:lineRule="auto"/>
              <w:ind w:right="43" w:firstLine="0"/>
            </w:pPr>
            <w:r>
              <w:rPr>
                <w:sz w:val="18"/>
              </w:rPr>
              <w:t xml:space="preserve">Eraikinen diseinuek eta eraikuntza teknikek zirkulartasunaren alde eginen dute, eta </w:t>
            </w:r>
            <w:r>
              <w:rPr>
                <w:sz w:val="18"/>
                <w:b/>
                <w:bCs/>
              </w:rPr>
              <w:t xml:space="preserve">ISO 20887 arauari edo eraikinak desmuntatzeko edo egokitzeko gaitasuna ebaluatzeko beste arau batzuei</w:t>
            </w:r>
            <w:r>
              <w:rPr>
                <w:sz w:val="18"/>
              </w:rPr>
              <w:t xml:space="preserve"> erreferentzia eginez, erakutsiko dute, batez ere, nola diseinatuta dauden baliabideen erabilerari dagokionez eraginkorragoak izateko, moldagarriagoak, malguagoak eta desmuntagarriak, gerora berrerabili eta birziklatu ahal izateko.</w:t>
            </w:r>
            <w:r>
              <w:rPr>
                <w:sz w:val="18"/>
              </w:rPr>
              <w:t xml:space="preserve"> </w:t>
            </w:r>
          </w:p>
        </w:tc>
      </w:tr>
      <w:tr w:rsidR="005D1C67">
        <w:trPr>
          <w:trHeight w:val="1294"/>
        </w:trPr>
        <w:tc>
          <w:tcPr>
            <w:tcW w:w="2122" w:type="dxa"/>
            <w:tcBorders>
              <w:top w:val="single" w:sz="6" w:space="0" w:color="0989B1"/>
              <w:left w:val="single" w:sz="4" w:space="0" w:color="0989B1"/>
              <w:bottom w:val="single" w:sz="6" w:space="0" w:color="0989B1"/>
              <w:right w:val="single" w:sz="6" w:space="0" w:color="0989B1"/>
            </w:tcBorders>
          </w:tcPr>
          <w:p w:rsidR="005D1C67" w:rsidRDefault="00531C2E">
            <w:pPr>
              <w:spacing w:after="0" w:line="259" w:lineRule="auto"/>
              <w:ind w:left="0" w:firstLine="0"/>
              <w:jc w:val="left"/>
            </w:pPr>
            <w:r>
              <w:rPr>
                <w:sz w:val="18"/>
              </w:rPr>
              <w:t xml:space="preserve">5.</w:t>
            </w:r>
            <w:r>
              <w:rPr>
                <w:sz w:val="18"/>
              </w:rPr>
              <w:t xml:space="preserve"> </w:t>
            </w:r>
            <w:r>
              <w:rPr>
                <w:sz w:val="18"/>
              </w:rPr>
              <w:t xml:space="preserve">Kutsadura</w:t>
            </w:r>
            <w:r>
              <w:rPr>
                <w:sz w:val="18"/>
              </w:rPr>
              <w:t xml:space="preserve"> </w:t>
            </w:r>
          </w:p>
        </w:tc>
        <w:tc>
          <w:tcPr>
            <w:tcW w:w="7089" w:type="dxa"/>
            <w:tcBorders>
              <w:top w:val="single" w:sz="6" w:space="0" w:color="0989B1"/>
              <w:left w:val="single" w:sz="6" w:space="0" w:color="0989B1"/>
              <w:bottom w:val="single" w:sz="6" w:space="0" w:color="0989B1"/>
              <w:right w:val="single" w:sz="6" w:space="0" w:color="0989B1"/>
            </w:tcBorders>
          </w:tcPr>
          <w:p w:rsidR="005D1C67" w:rsidRDefault="00531C2E">
            <w:pPr>
              <w:spacing w:after="41" w:line="259" w:lineRule="auto"/>
              <w:ind w:left="0" w:firstLine="0"/>
              <w:jc w:val="left"/>
            </w:pPr>
            <w:r>
              <w:rPr>
                <w:sz w:val="18"/>
              </w:rPr>
              <w:t xml:space="preserve">Ez da eragin nabarmenik espero.</w:t>
            </w:r>
            <w:r>
              <w:rPr>
                <w:sz w:val="18"/>
              </w:rPr>
              <w:t xml:space="preserve"> </w:t>
            </w:r>
          </w:p>
          <w:p w:rsidR="005D1C67" w:rsidRDefault="00531C2E">
            <w:pPr>
              <w:spacing w:after="0" w:line="259" w:lineRule="auto"/>
              <w:ind w:left="0" w:right="43" w:firstLine="0"/>
            </w:pPr>
            <w:r>
              <w:rPr>
                <w:sz w:val="18"/>
              </w:rPr>
              <w:t xml:space="preserve">Jarduera egiteko erabilitako osagaiek eta eraikuntza materialek </w:t>
            </w:r>
            <w:r>
              <w:rPr>
                <w:sz w:val="18"/>
                <w:b/>
                <w:bCs/>
              </w:rPr>
              <w:t xml:space="preserve">ez dute amiantorik edukiko, ezta substantzia oso kezkagarririk ere</w:t>
            </w:r>
            <w:r>
              <w:rPr>
                <w:sz w:val="18"/>
              </w:rPr>
              <w:t xml:space="preserve">. Substantzia horiek </w:t>
            </w:r>
            <w:r>
              <w:rPr>
                <w:sz w:val="18"/>
                <w:b/>
                <w:bCs/>
              </w:rPr>
              <w:t xml:space="preserve">1907/2006 (EE) Erregelamenduaren XIV. eranskin</w:t>
            </w:r>
            <w:r>
              <w:rPr>
                <w:sz w:val="18"/>
              </w:rPr>
              <w:t xml:space="preserve">eko baimenaren menpeko substantzien zerrendan daude identifikaturik.</w:t>
            </w:r>
            <w:r>
              <w:rPr>
                <w:sz w:val="18"/>
                <w:b/>
              </w:rPr>
              <w:t xml:space="preserve"> </w:t>
            </w:r>
            <w:r>
              <w:rPr>
                <w:sz w:val="18"/>
                <w:b/>
              </w:rPr>
              <w:t xml:space="preserve">*</w:t>
            </w:r>
            <w:r>
              <w:rPr>
                <w:sz w:val="18"/>
                <w:b/>
              </w:rPr>
              <w:t xml:space="preserve"> </w:t>
            </w:r>
          </w:p>
        </w:tc>
      </w:tr>
      <w:tr w:rsidR="005D1C67">
        <w:trPr>
          <w:trHeight w:val="574"/>
        </w:trPr>
        <w:tc>
          <w:tcPr>
            <w:tcW w:w="2122" w:type="dxa"/>
            <w:tcBorders>
              <w:top w:val="single" w:sz="6" w:space="0" w:color="0989B1"/>
              <w:left w:val="single" w:sz="4" w:space="0" w:color="0989B1"/>
              <w:bottom w:val="single" w:sz="6" w:space="0" w:color="0989B1"/>
              <w:right w:val="single" w:sz="6" w:space="0" w:color="0989B1"/>
            </w:tcBorders>
          </w:tcPr>
          <w:p w:rsidR="005D1C67" w:rsidRDefault="00531C2E">
            <w:pPr>
              <w:spacing w:after="0" w:line="259" w:lineRule="auto"/>
              <w:ind w:left="0" w:firstLine="0"/>
              <w:jc w:val="left"/>
            </w:pPr>
            <w:r>
              <w:rPr>
                <w:sz w:val="18"/>
              </w:rPr>
              <w:t xml:space="preserve">6.</w:t>
            </w:r>
            <w:r>
              <w:rPr>
                <w:sz w:val="18"/>
              </w:rPr>
              <w:t xml:space="preserve"> </w:t>
            </w:r>
            <w:r>
              <w:rPr>
                <w:sz w:val="18"/>
              </w:rPr>
              <w:t xml:space="preserve">Biodibertsitatea eta ekosistemak</w:t>
            </w:r>
            <w:r>
              <w:rPr>
                <w:sz w:val="18"/>
              </w:rPr>
              <w:t xml:space="preserve"> </w:t>
            </w:r>
          </w:p>
        </w:tc>
        <w:tc>
          <w:tcPr>
            <w:tcW w:w="7089" w:type="dxa"/>
            <w:tcBorders>
              <w:top w:val="single" w:sz="6" w:space="0" w:color="0989B1"/>
              <w:left w:val="single" w:sz="6" w:space="0" w:color="0989B1"/>
              <w:bottom w:val="single" w:sz="6" w:space="0" w:color="0989B1"/>
              <w:right w:val="single" w:sz="6" w:space="0" w:color="0989B1"/>
            </w:tcBorders>
          </w:tcPr>
          <w:p w:rsidR="005D1C67" w:rsidRDefault="00531C2E">
            <w:pPr>
              <w:spacing w:after="0" w:line="259" w:lineRule="auto"/>
              <w:ind w:left="0" w:firstLine="0"/>
            </w:pPr>
            <w:r>
              <w:rPr>
                <w:sz w:val="18"/>
              </w:rPr>
              <w:t xml:space="preserve">Ez dago baldintza espezifikorik zehaztuta, jarduerek ez baitute eragin zuzenik edo zeharkakorik izan behar biodibertsitatean edo ekosistemetan.</w:t>
            </w:r>
            <w:r>
              <w:rPr>
                <w:sz w:val="18"/>
              </w:rPr>
              <w:t xml:space="preserve"> </w:t>
            </w:r>
          </w:p>
        </w:tc>
      </w:tr>
      <w:tr w:rsidR="005D1C67">
        <w:trPr>
          <w:trHeight w:val="475"/>
        </w:trPr>
        <w:tc>
          <w:tcPr>
            <w:tcW w:w="2122" w:type="dxa"/>
            <w:tcBorders>
              <w:top w:val="single" w:sz="6" w:space="0" w:color="0989B1"/>
              <w:left w:val="single" w:sz="6" w:space="0" w:color="FFFFFF"/>
              <w:bottom w:val="nil"/>
              <w:right w:val="nil"/>
            </w:tcBorders>
          </w:tcPr>
          <w:p w:rsidR="005D1C67" w:rsidRDefault="005D1C67">
            <w:pPr>
              <w:spacing w:after="160" w:line="259" w:lineRule="auto"/>
              <w:ind w:left="0" w:firstLine="0"/>
              <w:jc w:val="left"/>
            </w:pPr>
          </w:p>
        </w:tc>
        <w:tc>
          <w:tcPr>
            <w:tcW w:w="7089" w:type="dxa"/>
            <w:tcBorders>
              <w:top w:val="single" w:sz="6" w:space="0" w:color="0989B1"/>
              <w:left w:val="nil"/>
              <w:bottom w:val="nil"/>
              <w:right w:val="single" w:sz="6" w:space="0" w:color="FFFFFF"/>
            </w:tcBorders>
            <w:vAlign w:val="center"/>
          </w:tcPr>
          <w:p w:rsidR="005D1C67" w:rsidRDefault="00531C2E">
            <w:pPr>
              <w:spacing w:after="0" w:line="259" w:lineRule="auto"/>
              <w:ind w:left="2" w:firstLine="0"/>
              <w:jc w:val="left"/>
            </w:pPr>
            <w:r>
              <w:rPr>
                <w:sz w:val="18"/>
                <w:vertAlign w:val="superscript"/>
              </w:rPr>
              <w:t xml:space="preserve">(*) </w:t>
            </w:r>
            <w:r>
              <w:rPr>
                <w:sz w:val="18"/>
              </w:rPr>
              <w:t xml:space="preserve">691/2021 Errege Dekretuan ezarritako programaren betekizunak.</w:t>
            </w:r>
            <w:r>
              <w:rPr>
                <w:sz w:val="18"/>
              </w:rPr>
              <w:t xml:space="preserve"> </w:t>
            </w:r>
          </w:p>
        </w:tc>
      </w:tr>
    </w:tbl>
    <w:p w:rsidR="005D1C67" w:rsidRDefault="00531C2E">
      <w:pPr>
        <w:numPr>
          <w:ilvl w:val="0"/>
          <w:numId w:val="1"/>
        </w:numPr>
        <w:ind w:right="819" w:hanging="252"/>
      </w:pPr>
      <w:r>
        <w:t xml:space="preserve">Erantzukizunpeko adierazpen honen xede diren jarduketek aplikatzekoa den DNSH printzipioaren helburuekin lotutako indarreko araudia beteko dute.</w:t>
      </w:r>
      <w:r>
        <w:t xml:space="preserve"> </w:t>
      </w:r>
    </w:p>
    <w:p w:rsidR="005D1C67" w:rsidRDefault="00531C2E">
      <w:pPr>
        <w:numPr>
          <w:ilvl w:val="0"/>
          <w:numId w:val="1"/>
        </w:numPr>
        <w:spacing w:after="111"/>
        <w:ind w:right="819" w:hanging="252"/>
      </w:pPr>
      <w:r>
        <w:t xml:space="preserve">Proiektuan eta horrekin batera doan hondakinen kudeaketari buruzko azterlanean deskribatutako jarduerek ekonomia zirkularraren helburuaren ebaluazio substantiborako ezarritako irizpide espezifikoak, b) atalean deskribatutakoak, betetzen dituzte, honako honen arabera:</w:t>
      </w:r>
      <w:r>
        <w:t xml:space="preserve"> </w:t>
      </w:r>
    </w:p>
    <w:p w:rsidR="005D1C67" w:rsidRDefault="00531C2E">
      <w:pPr>
        <w:spacing w:after="111"/>
        <w:ind w:left="754" w:right="819"/>
      </w:pPr>
      <w:r>
        <w:t xml:space="preserve">Oraingo eraikinek ezarritako baldintzatzaileetatik abiatzen da proposatutako eraikinen birgaitzea.</w:t>
      </w:r>
      <w:r>
        <w:t xml:space="preserve"> </w:t>
      </w:r>
      <w:r>
        <w:t xml:space="preserve">Ondorioz, eraikuntza zirkularraren irizpideak kontuan hartu dira, esku hartze zehatzek ahalbidetzen duten neurrian.</w:t>
      </w:r>
      <w:r>
        <w:t xml:space="preserve"> </w:t>
      </w:r>
    </w:p>
    <w:p w:rsidR="005D1C67" w:rsidRDefault="00531C2E">
      <w:pPr>
        <w:spacing w:after="111"/>
        <w:ind w:left="754" w:right="819"/>
      </w:pPr>
      <w:r>
        <w:t xml:space="preserve">Aintzat hartutako eraikuntza teknikek zirkulartasuna babesten dute: beharrezko neurriak hartu dira proposatutako jarduketen ondoriozko eraikuntzako eta eraispeneko hondakinen (EEH) % 70 gutxienez berrerabiltzeko, birziklatzeko eta berreskuratzeko.</w:t>
      </w:r>
      <w:r>
        <w:rPr>
          <w:color w:val="FF0000"/>
        </w:rPr>
        <w:t xml:space="preserve"> </w:t>
      </w:r>
    </w:p>
    <w:p w:rsidR="005D1C67" w:rsidRDefault="00531C2E">
      <w:pPr>
        <w:spacing w:after="96" w:line="259" w:lineRule="auto"/>
        <w:ind w:left="744" w:firstLine="0"/>
        <w:jc w:val="left"/>
      </w:pPr>
      <w:r>
        <w:t xml:space="preserve"> </w:t>
      </w:r>
    </w:p>
    <w:p w:rsidR="005D1C67" w:rsidRDefault="00531C2E">
      <w:pPr>
        <w:ind w:left="31" w:right="819"/>
      </w:pPr>
      <w:r>
        <w:t xml:space="preserve">Adierazpen honetan ezarritako betekizunen bat betetzen ez bada, itzuli egin beharko dira jasotako laguntzak, bai eta dagozkien berandutze interesak ordaindu ere.</w:t>
      </w:r>
      <w:r>
        <w:t xml:space="preserve"> </w:t>
      </w:r>
    </w:p>
    <w:p w:rsidR="005D1C67" w:rsidRDefault="00531C2E">
      <w:pPr>
        <w:ind w:left="31" w:right="819"/>
      </w:pPr>
      <w:r>
        <w:t xml:space="preserve">Eta hala ager dadin, honako hau sinatzen dut .................................(e)n, sinadura digitalaren egunean.</w:t>
      </w:r>
      <w:r>
        <w:t xml:space="preserve"> </w:t>
      </w:r>
    </w:p>
    <w:p w:rsidR="005D1C67" w:rsidRDefault="00531C2E" w:rsidP="00531C2E">
      <w:pPr>
        <w:ind w:left="31" w:right="819"/>
      </w:pPr>
      <w:r>
        <w:t xml:space="preserve">Teknikari eskudunak sinatuta.</w:t>
      </w:r>
      <w:r>
        <w:t xml:space="preserve">  </w:t>
      </w:r>
    </w:p>
    <w:p w:rsidR="005D1C67" w:rsidRDefault="00531C2E">
      <w:pPr>
        <w:spacing w:after="0" w:line="259" w:lineRule="auto"/>
        <w:ind w:left="36" w:firstLine="0"/>
        <w:jc w:val="left"/>
      </w:pPr>
      <w:r>
        <w:rPr>
          <w:sz w:val="16"/>
        </w:rPr>
        <w:t xml:space="preserve"> </w:t>
      </w:r>
    </w:p>
    <w:p w:rsidR="005D1C67" w:rsidRDefault="00531C2E">
      <w:pPr>
        <w:spacing w:after="0" w:line="259" w:lineRule="auto"/>
        <w:ind w:left="10" w:right="783"/>
        <w:jc w:val="right"/>
      </w:pPr>
      <w:r>
        <w:rPr>
          <w:color w:val="000000"/>
          <w:sz w:val="16"/>
        </w:rPr>
        <w:t xml:space="preserve">Etxebizitza Zerbitzua</w:t>
      </w:r>
      <w:r>
        <w:rPr>
          <w:color w:val="000000"/>
          <w:sz w:val="16"/>
        </w:rPr>
        <w:t xml:space="preserve"> </w:t>
      </w:r>
    </w:p>
    <w:p w:rsidR="005D1C67" w:rsidRDefault="00531C2E">
      <w:pPr>
        <w:tabs>
          <w:tab w:val="center" w:pos="4429"/>
          <w:tab w:val="center" w:pos="8230"/>
        </w:tabs>
        <w:spacing w:after="0" w:line="259" w:lineRule="auto"/>
        <w:ind w:left="0" w:firstLine="0"/>
        <w:jc w:val="left"/>
      </w:pPr>
      <w:r>
        <w:rPr>
          <w:color w:val="000000"/>
        </w:rPr>
        <w:tab/>
      </w:r>
      <w:r>
        <w:rPr>
          <w:b/>
          <w:sz w:val="18"/>
        </w:rPr>
        <w:t xml:space="preserve"> </w:t>
      </w:r>
      <w:r>
        <w:rPr>
          <w:b/>
          <w:sz w:val="18"/>
        </w:rPr>
        <w:tab/>
      </w:r>
      <w:r>
        <w:rPr>
          <w:color w:val="000000"/>
          <w:sz w:val="16"/>
        </w:rPr>
        <w:t xml:space="preserve">Alondegi kalea 1, 1. solairua - Iruña</w:t>
      </w:r>
      <w:r>
        <w:rPr>
          <w:color w:val="000000"/>
          <w:sz w:val="16"/>
        </w:rPr>
        <w:t xml:space="preserve"> </w:t>
      </w:r>
    </w:p>
    <w:p w:rsidR="005D1C67" w:rsidRDefault="00531C2E">
      <w:pPr>
        <w:spacing w:after="0" w:line="259" w:lineRule="auto"/>
        <w:ind w:left="-5"/>
        <w:jc w:val="left"/>
      </w:pPr>
      <w:r>
        <w:rPr>
          <w:sz w:val="16"/>
          <w:color w:val="000000"/>
        </w:rPr>
        <w:t xml:space="preserve">Orrialdea: 2 / 2</w:t>
      </w:r>
      <w:r>
        <w:rPr>
          <w:sz w:val="16"/>
          <w:color w:val="009CC4"/>
        </w:rPr>
        <w:t xml:space="preserve"> </w:t>
      </w:r>
    </w:p>
    <w:p w:rsidR="005D1C67" w:rsidRDefault="00531C2E">
      <w:pPr>
        <w:tabs>
          <w:tab w:val="center" w:pos="4429"/>
          <w:tab w:val="center" w:pos="8745"/>
        </w:tabs>
        <w:spacing w:after="0" w:line="259" w:lineRule="auto"/>
        <w:ind w:left="0" w:firstLine="0"/>
        <w:jc w:val="left"/>
      </w:pPr>
      <w:r>
        <w:rPr>
          <w:color w:val="000000"/>
        </w:rPr>
        <w:tab/>
      </w:r>
      <w:r>
        <w:rPr>
          <w:b/>
          <w:sz w:val="18"/>
        </w:rPr>
        <w:t xml:space="preserve"> </w:t>
      </w:r>
      <w:r>
        <w:rPr>
          <w:b/>
          <w:sz w:val="18"/>
        </w:rPr>
        <w:tab/>
      </w:r>
      <w:hyperlink r:id="rId20">
        <w:r>
          <w:rPr>
            <w:color w:val="0000FF"/>
            <w:sz w:val="16"/>
            <w:u w:val="single" w:color="0000FF"/>
          </w:rPr>
          <w:t xml:space="preserve">www.vivienda.navarra.es</w:t>
        </w:r>
      </w:hyperlink>
    </w:p>
    <w:p w:rsidR="005D1C67" w:rsidRDefault="00531C2E">
      <w:pPr>
        <w:spacing w:after="0" w:line="259" w:lineRule="auto"/>
        <w:ind w:left="0" w:right="760" w:firstLine="0"/>
        <w:jc w:val="right"/>
      </w:pPr>
      <w:r>
        <w:rPr>
          <w:color w:val="000000"/>
          <w:sz w:val="16"/>
        </w:rPr>
        <w:t xml:space="preserve"> </w:t>
      </w:r>
    </w:p>
    <w:p w:rsidR="005D1C67" w:rsidRDefault="00531C2E">
      <w:pPr>
        <w:spacing w:after="0" w:line="259" w:lineRule="auto"/>
        <w:ind w:left="36" w:firstLine="0"/>
        <w:jc w:val="left"/>
      </w:pPr>
      <w:r>
        <w:rPr>
          <w:sz w:val="16"/>
        </w:rPr>
        <w:t xml:space="preserve"> </w:t>
      </w:r>
    </w:p>
    <w:sectPr w:rsidR="005D1C67">
      <w:pgSz w:w="11906" w:h="16838"/>
      <w:pgMar w:top="709" w:right="301" w:bottom="284" w:left="12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43B01"/>
    <w:multiLevelType w:val="hybridMultilevel"/>
    <w:tmpl w:val="BA6A08DE"/>
    <w:lvl w:ilvl="0" w:tplc="930467EC">
      <w:start w:val="1"/>
      <w:numFmt w:val="lowerRoman"/>
      <w:lvlText w:val="%1."/>
      <w:lvlJc w:val="left"/>
      <w:pPr>
        <w:ind w:left="0"/>
      </w:pPr>
      <w:rPr>
        <w:rFonts w:ascii="Calibri" w:eastAsia="Calibri" w:hAnsi="Calibri" w:cs="Calibri"/>
        <w:b w:val="0"/>
        <w:i w:val="0"/>
        <w:strike w:val="0"/>
        <w:dstrike w:val="0"/>
        <w:color w:val="595959"/>
        <w:sz w:val="18"/>
        <w:szCs w:val="18"/>
        <w:u w:val="none" w:color="000000"/>
        <w:bdr w:val="none" w:sz="0" w:space="0" w:color="auto"/>
        <w:shd w:val="clear" w:color="auto" w:fill="auto"/>
        <w:vertAlign w:val="baseline"/>
      </w:rPr>
    </w:lvl>
    <w:lvl w:ilvl="1" w:tplc="59383D54">
      <w:start w:val="1"/>
      <w:numFmt w:val="lowerLetter"/>
      <w:lvlText w:val="%2"/>
      <w:lvlJc w:val="left"/>
      <w:pPr>
        <w:ind w:left="1188"/>
      </w:pPr>
      <w:rPr>
        <w:rFonts w:ascii="Calibri" w:eastAsia="Calibri" w:hAnsi="Calibri" w:cs="Calibri"/>
        <w:b w:val="0"/>
        <w:i w:val="0"/>
        <w:strike w:val="0"/>
        <w:dstrike w:val="0"/>
        <w:color w:val="595959"/>
        <w:sz w:val="18"/>
        <w:szCs w:val="18"/>
        <w:u w:val="none" w:color="000000"/>
        <w:bdr w:val="none" w:sz="0" w:space="0" w:color="auto"/>
        <w:shd w:val="clear" w:color="auto" w:fill="auto"/>
        <w:vertAlign w:val="baseline"/>
      </w:rPr>
    </w:lvl>
    <w:lvl w:ilvl="2" w:tplc="17D6AE06">
      <w:start w:val="1"/>
      <w:numFmt w:val="lowerRoman"/>
      <w:lvlText w:val="%3"/>
      <w:lvlJc w:val="left"/>
      <w:pPr>
        <w:ind w:left="1908"/>
      </w:pPr>
      <w:rPr>
        <w:rFonts w:ascii="Calibri" w:eastAsia="Calibri" w:hAnsi="Calibri" w:cs="Calibri"/>
        <w:b w:val="0"/>
        <w:i w:val="0"/>
        <w:strike w:val="0"/>
        <w:dstrike w:val="0"/>
        <w:color w:val="595959"/>
        <w:sz w:val="18"/>
        <w:szCs w:val="18"/>
        <w:u w:val="none" w:color="000000"/>
        <w:bdr w:val="none" w:sz="0" w:space="0" w:color="auto"/>
        <w:shd w:val="clear" w:color="auto" w:fill="auto"/>
        <w:vertAlign w:val="baseline"/>
      </w:rPr>
    </w:lvl>
    <w:lvl w:ilvl="3" w:tplc="958C87B0">
      <w:start w:val="1"/>
      <w:numFmt w:val="decimal"/>
      <w:lvlText w:val="%4"/>
      <w:lvlJc w:val="left"/>
      <w:pPr>
        <w:ind w:left="2628"/>
      </w:pPr>
      <w:rPr>
        <w:rFonts w:ascii="Calibri" w:eastAsia="Calibri" w:hAnsi="Calibri" w:cs="Calibri"/>
        <w:b w:val="0"/>
        <w:i w:val="0"/>
        <w:strike w:val="0"/>
        <w:dstrike w:val="0"/>
        <w:color w:val="595959"/>
        <w:sz w:val="18"/>
        <w:szCs w:val="18"/>
        <w:u w:val="none" w:color="000000"/>
        <w:bdr w:val="none" w:sz="0" w:space="0" w:color="auto"/>
        <w:shd w:val="clear" w:color="auto" w:fill="auto"/>
        <w:vertAlign w:val="baseline"/>
      </w:rPr>
    </w:lvl>
    <w:lvl w:ilvl="4" w:tplc="D7789700">
      <w:start w:val="1"/>
      <w:numFmt w:val="lowerLetter"/>
      <w:lvlText w:val="%5"/>
      <w:lvlJc w:val="left"/>
      <w:pPr>
        <w:ind w:left="3348"/>
      </w:pPr>
      <w:rPr>
        <w:rFonts w:ascii="Calibri" w:eastAsia="Calibri" w:hAnsi="Calibri" w:cs="Calibri"/>
        <w:b w:val="0"/>
        <w:i w:val="0"/>
        <w:strike w:val="0"/>
        <w:dstrike w:val="0"/>
        <w:color w:val="595959"/>
        <w:sz w:val="18"/>
        <w:szCs w:val="18"/>
        <w:u w:val="none" w:color="000000"/>
        <w:bdr w:val="none" w:sz="0" w:space="0" w:color="auto"/>
        <w:shd w:val="clear" w:color="auto" w:fill="auto"/>
        <w:vertAlign w:val="baseline"/>
      </w:rPr>
    </w:lvl>
    <w:lvl w:ilvl="5" w:tplc="4F004B3C">
      <w:start w:val="1"/>
      <w:numFmt w:val="lowerRoman"/>
      <w:lvlText w:val="%6"/>
      <w:lvlJc w:val="left"/>
      <w:pPr>
        <w:ind w:left="4068"/>
      </w:pPr>
      <w:rPr>
        <w:rFonts w:ascii="Calibri" w:eastAsia="Calibri" w:hAnsi="Calibri" w:cs="Calibri"/>
        <w:b w:val="0"/>
        <w:i w:val="0"/>
        <w:strike w:val="0"/>
        <w:dstrike w:val="0"/>
        <w:color w:val="595959"/>
        <w:sz w:val="18"/>
        <w:szCs w:val="18"/>
        <w:u w:val="none" w:color="000000"/>
        <w:bdr w:val="none" w:sz="0" w:space="0" w:color="auto"/>
        <w:shd w:val="clear" w:color="auto" w:fill="auto"/>
        <w:vertAlign w:val="baseline"/>
      </w:rPr>
    </w:lvl>
    <w:lvl w:ilvl="6" w:tplc="B3AC5468">
      <w:start w:val="1"/>
      <w:numFmt w:val="decimal"/>
      <w:lvlText w:val="%7"/>
      <w:lvlJc w:val="left"/>
      <w:pPr>
        <w:ind w:left="4788"/>
      </w:pPr>
      <w:rPr>
        <w:rFonts w:ascii="Calibri" w:eastAsia="Calibri" w:hAnsi="Calibri" w:cs="Calibri"/>
        <w:b w:val="0"/>
        <w:i w:val="0"/>
        <w:strike w:val="0"/>
        <w:dstrike w:val="0"/>
        <w:color w:val="595959"/>
        <w:sz w:val="18"/>
        <w:szCs w:val="18"/>
        <w:u w:val="none" w:color="000000"/>
        <w:bdr w:val="none" w:sz="0" w:space="0" w:color="auto"/>
        <w:shd w:val="clear" w:color="auto" w:fill="auto"/>
        <w:vertAlign w:val="baseline"/>
      </w:rPr>
    </w:lvl>
    <w:lvl w:ilvl="7" w:tplc="8E9A1254">
      <w:start w:val="1"/>
      <w:numFmt w:val="lowerLetter"/>
      <w:lvlText w:val="%8"/>
      <w:lvlJc w:val="left"/>
      <w:pPr>
        <w:ind w:left="5508"/>
      </w:pPr>
      <w:rPr>
        <w:rFonts w:ascii="Calibri" w:eastAsia="Calibri" w:hAnsi="Calibri" w:cs="Calibri"/>
        <w:b w:val="0"/>
        <w:i w:val="0"/>
        <w:strike w:val="0"/>
        <w:dstrike w:val="0"/>
        <w:color w:val="595959"/>
        <w:sz w:val="18"/>
        <w:szCs w:val="18"/>
        <w:u w:val="none" w:color="000000"/>
        <w:bdr w:val="none" w:sz="0" w:space="0" w:color="auto"/>
        <w:shd w:val="clear" w:color="auto" w:fill="auto"/>
        <w:vertAlign w:val="baseline"/>
      </w:rPr>
    </w:lvl>
    <w:lvl w:ilvl="8" w:tplc="654C6988">
      <w:start w:val="1"/>
      <w:numFmt w:val="lowerRoman"/>
      <w:lvlText w:val="%9"/>
      <w:lvlJc w:val="left"/>
      <w:pPr>
        <w:ind w:left="6228"/>
      </w:pPr>
      <w:rPr>
        <w:rFonts w:ascii="Calibri" w:eastAsia="Calibri" w:hAnsi="Calibri" w:cs="Calibri"/>
        <w:b w:val="0"/>
        <w:i w:val="0"/>
        <w:strike w:val="0"/>
        <w:dstrike w:val="0"/>
        <w:color w:val="595959"/>
        <w:sz w:val="18"/>
        <w:szCs w:val="18"/>
        <w:u w:val="none" w:color="000000"/>
        <w:bdr w:val="none" w:sz="0" w:space="0" w:color="auto"/>
        <w:shd w:val="clear" w:color="auto" w:fill="auto"/>
        <w:vertAlign w:val="baseline"/>
      </w:rPr>
    </w:lvl>
  </w:abstractNum>
  <w:abstractNum w:abstractNumId="1" w15:restartNumberingAfterBreak="0">
    <w:nsid w:val="40292445"/>
    <w:multiLevelType w:val="hybridMultilevel"/>
    <w:tmpl w:val="3A32204A"/>
    <w:lvl w:ilvl="0" w:tplc="048E301A">
      <w:start w:val="1"/>
      <w:numFmt w:val="lowerLetter"/>
      <w:lvlText w:val="%1)"/>
      <w:lvlJc w:val="left"/>
      <w:pPr>
        <w:ind w:left="648"/>
      </w:pPr>
      <w:rPr>
        <w:rFonts w:ascii="Calibri" w:eastAsia="Calibri" w:hAnsi="Calibri" w:cs="Calibri"/>
        <w:b w:val="0"/>
        <w:i w:val="0"/>
        <w:strike w:val="0"/>
        <w:dstrike w:val="0"/>
        <w:color w:val="595959"/>
        <w:sz w:val="22"/>
        <w:szCs w:val="22"/>
        <w:u w:val="none" w:color="000000"/>
        <w:bdr w:val="none" w:sz="0" w:space="0" w:color="auto"/>
        <w:shd w:val="clear" w:color="auto" w:fill="auto"/>
        <w:vertAlign w:val="baseline"/>
      </w:rPr>
    </w:lvl>
    <w:lvl w:ilvl="1" w:tplc="A8C4F1FC">
      <w:start w:val="1"/>
      <w:numFmt w:val="lowerLetter"/>
      <w:lvlText w:val="%2"/>
      <w:lvlJc w:val="left"/>
      <w:pPr>
        <w:ind w:left="1476"/>
      </w:pPr>
      <w:rPr>
        <w:rFonts w:ascii="Calibri" w:eastAsia="Calibri" w:hAnsi="Calibri" w:cs="Calibri"/>
        <w:b w:val="0"/>
        <w:i w:val="0"/>
        <w:strike w:val="0"/>
        <w:dstrike w:val="0"/>
        <w:color w:val="595959"/>
        <w:sz w:val="22"/>
        <w:szCs w:val="22"/>
        <w:u w:val="none" w:color="000000"/>
        <w:bdr w:val="none" w:sz="0" w:space="0" w:color="auto"/>
        <w:shd w:val="clear" w:color="auto" w:fill="auto"/>
        <w:vertAlign w:val="baseline"/>
      </w:rPr>
    </w:lvl>
    <w:lvl w:ilvl="2" w:tplc="12ACCB9A">
      <w:start w:val="1"/>
      <w:numFmt w:val="lowerRoman"/>
      <w:lvlText w:val="%3"/>
      <w:lvlJc w:val="left"/>
      <w:pPr>
        <w:ind w:left="2196"/>
      </w:pPr>
      <w:rPr>
        <w:rFonts w:ascii="Calibri" w:eastAsia="Calibri" w:hAnsi="Calibri" w:cs="Calibri"/>
        <w:b w:val="0"/>
        <w:i w:val="0"/>
        <w:strike w:val="0"/>
        <w:dstrike w:val="0"/>
        <w:color w:val="595959"/>
        <w:sz w:val="22"/>
        <w:szCs w:val="22"/>
        <w:u w:val="none" w:color="000000"/>
        <w:bdr w:val="none" w:sz="0" w:space="0" w:color="auto"/>
        <w:shd w:val="clear" w:color="auto" w:fill="auto"/>
        <w:vertAlign w:val="baseline"/>
      </w:rPr>
    </w:lvl>
    <w:lvl w:ilvl="3" w:tplc="62F01F5C">
      <w:start w:val="1"/>
      <w:numFmt w:val="decimal"/>
      <w:lvlText w:val="%4"/>
      <w:lvlJc w:val="left"/>
      <w:pPr>
        <w:ind w:left="2916"/>
      </w:pPr>
      <w:rPr>
        <w:rFonts w:ascii="Calibri" w:eastAsia="Calibri" w:hAnsi="Calibri" w:cs="Calibri"/>
        <w:b w:val="0"/>
        <w:i w:val="0"/>
        <w:strike w:val="0"/>
        <w:dstrike w:val="0"/>
        <w:color w:val="595959"/>
        <w:sz w:val="22"/>
        <w:szCs w:val="22"/>
        <w:u w:val="none" w:color="000000"/>
        <w:bdr w:val="none" w:sz="0" w:space="0" w:color="auto"/>
        <w:shd w:val="clear" w:color="auto" w:fill="auto"/>
        <w:vertAlign w:val="baseline"/>
      </w:rPr>
    </w:lvl>
    <w:lvl w:ilvl="4" w:tplc="8BC0A69A">
      <w:start w:val="1"/>
      <w:numFmt w:val="lowerLetter"/>
      <w:lvlText w:val="%5"/>
      <w:lvlJc w:val="left"/>
      <w:pPr>
        <w:ind w:left="3636"/>
      </w:pPr>
      <w:rPr>
        <w:rFonts w:ascii="Calibri" w:eastAsia="Calibri" w:hAnsi="Calibri" w:cs="Calibri"/>
        <w:b w:val="0"/>
        <w:i w:val="0"/>
        <w:strike w:val="0"/>
        <w:dstrike w:val="0"/>
        <w:color w:val="595959"/>
        <w:sz w:val="22"/>
        <w:szCs w:val="22"/>
        <w:u w:val="none" w:color="000000"/>
        <w:bdr w:val="none" w:sz="0" w:space="0" w:color="auto"/>
        <w:shd w:val="clear" w:color="auto" w:fill="auto"/>
        <w:vertAlign w:val="baseline"/>
      </w:rPr>
    </w:lvl>
    <w:lvl w:ilvl="5" w:tplc="F7E6D2BC">
      <w:start w:val="1"/>
      <w:numFmt w:val="lowerRoman"/>
      <w:lvlText w:val="%6"/>
      <w:lvlJc w:val="left"/>
      <w:pPr>
        <w:ind w:left="4356"/>
      </w:pPr>
      <w:rPr>
        <w:rFonts w:ascii="Calibri" w:eastAsia="Calibri" w:hAnsi="Calibri" w:cs="Calibri"/>
        <w:b w:val="0"/>
        <w:i w:val="0"/>
        <w:strike w:val="0"/>
        <w:dstrike w:val="0"/>
        <w:color w:val="595959"/>
        <w:sz w:val="22"/>
        <w:szCs w:val="22"/>
        <w:u w:val="none" w:color="000000"/>
        <w:bdr w:val="none" w:sz="0" w:space="0" w:color="auto"/>
        <w:shd w:val="clear" w:color="auto" w:fill="auto"/>
        <w:vertAlign w:val="baseline"/>
      </w:rPr>
    </w:lvl>
    <w:lvl w:ilvl="6" w:tplc="01F0A704">
      <w:start w:val="1"/>
      <w:numFmt w:val="decimal"/>
      <w:lvlText w:val="%7"/>
      <w:lvlJc w:val="left"/>
      <w:pPr>
        <w:ind w:left="5076"/>
      </w:pPr>
      <w:rPr>
        <w:rFonts w:ascii="Calibri" w:eastAsia="Calibri" w:hAnsi="Calibri" w:cs="Calibri"/>
        <w:b w:val="0"/>
        <w:i w:val="0"/>
        <w:strike w:val="0"/>
        <w:dstrike w:val="0"/>
        <w:color w:val="595959"/>
        <w:sz w:val="22"/>
        <w:szCs w:val="22"/>
        <w:u w:val="none" w:color="000000"/>
        <w:bdr w:val="none" w:sz="0" w:space="0" w:color="auto"/>
        <w:shd w:val="clear" w:color="auto" w:fill="auto"/>
        <w:vertAlign w:val="baseline"/>
      </w:rPr>
    </w:lvl>
    <w:lvl w:ilvl="7" w:tplc="B7746A2A">
      <w:start w:val="1"/>
      <w:numFmt w:val="lowerLetter"/>
      <w:lvlText w:val="%8"/>
      <w:lvlJc w:val="left"/>
      <w:pPr>
        <w:ind w:left="5796"/>
      </w:pPr>
      <w:rPr>
        <w:rFonts w:ascii="Calibri" w:eastAsia="Calibri" w:hAnsi="Calibri" w:cs="Calibri"/>
        <w:b w:val="0"/>
        <w:i w:val="0"/>
        <w:strike w:val="0"/>
        <w:dstrike w:val="0"/>
        <w:color w:val="595959"/>
        <w:sz w:val="22"/>
        <w:szCs w:val="22"/>
        <w:u w:val="none" w:color="000000"/>
        <w:bdr w:val="none" w:sz="0" w:space="0" w:color="auto"/>
        <w:shd w:val="clear" w:color="auto" w:fill="auto"/>
        <w:vertAlign w:val="baseline"/>
      </w:rPr>
    </w:lvl>
    <w:lvl w:ilvl="8" w:tplc="555AAE38">
      <w:start w:val="1"/>
      <w:numFmt w:val="lowerRoman"/>
      <w:lvlText w:val="%9"/>
      <w:lvlJc w:val="left"/>
      <w:pPr>
        <w:ind w:left="6516"/>
      </w:pPr>
      <w:rPr>
        <w:rFonts w:ascii="Calibri" w:eastAsia="Calibri" w:hAnsi="Calibri" w:cs="Calibri"/>
        <w:b w:val="0"/>
        <w:i w:val="0"/>
        <w:strike w:val="0"/>
        <w:dstrike w:val="0"/>
        <w:color w:val="595959"/>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proofState w:spelling="dirty" w:grammar="dirty"/>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C67"/>
    <w:rsid w:val="00531C2E"/>
    <w:rsid w:val="005D1C6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ED31E"/>
  <w15:docId w15:val="{2857DF3F-970A-4D6E-A686-5D7D2989D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u-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88" w:line="249" w:lineRule="auto"/>
      <w:ind w:left="46" w:hanging="10"/>
      <w:jc w:val="both"/>
    </w:pPr>
    <w:rPr>
      <w:rFonts w:ascii="Calibri" w:eastAsia="Calibri" w:hAnsi="Calibri" w:cs="Calibri"/>
      <w:color w:val="59595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www.boe.es/doue/2020/198/L00195-00043.pdf" TargetMode="External"/><Relationship Id="rId18" Type="http://schemas.openxmlformats.org/officeDocument/2006/relationships/hyperlink" Target="http://www.vivienda.navarra.es" TargetMode="External"/><Relationship Id="rId3" Type="http://schemas.openxmlformats.org/officeDocument/2006/relationships/settings" Target="settings.xml"/><Relationship Id="rId21" Type="http://schemas.openxmlformats.org/officeDocument/2006/relationships/hyperlink" Target="http://www.vivienda.navarra.es" TargetMode="External"/><Relationship Id="rId7" Type="http://schemas.openxmlformats.org/officeDocument/2006/relationships/image" Target="media/image3.jpg"/><Relationship Id="rId12" Type="http://schemas.openxmlformats.org/officeDocument/2006/relationships/image" Target="media/image3.png"/><Relationship Id="rId17" Type="http://schemas.openxmlformats.org/officeDocument/2006/relationships/hyperlink" Target="https://www.lamoncloa.gob.es/temas/fondos-recuperacion/Documents/16062021-Componente2.pdf" TargetMode="External"/><Relationship Id="rId2" Type="http://schemas.openxmlformats.org/officeDocument/2006/relationships/styles" Target="styles.xml"/><Relationship Id="rId16" Type="http://schemas.openxmlformats.org/officeDocument/2006/relationships/hyperlink" Target="https://www.lamoncloa.gob.es/temas/fondos-recuperacion/Documents/16062021-Componente2.pdf" TargetMode="External"/><Relationship Id="rId20" Type="http://schemas.openxmlformats.org/officeDocument/2006/relationships/hyperlink" Target="http://www.vivienda.navarra.es" TargetMode="Externa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20.jpg"/><Relationship Id="rId5" Type="http://schemas.openxmlformats.org/officeDocument/2006/relationships/image" Target="media/image1.png"/><Relationship Id="rId15" Type="http://schemas.openxmlformats.org/officeDocument/2006/relationships/hyperlink" Target="http://www.boe.es/doue/2020/198/L00195-00043.pdf" TargetMode="External"/><Relationship Id="rId23"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hyperlink" Target="http://www.vivienda.navarra.es" TargetMode="External"/><Relationship Id="rId4" Type="http://schemas.openxmlformats.org/officeDocument/2006/relationships/webSettings" Target="webSettings.xml"/><Relationship Id="rId9" Type="http://schemas.openxmlformats.org/officeDocument/2006/relationships/image" Target="media/image0.png"/><Relationship Id="rId14" Type="http://schemas.openxmlformats.org/officeDocument/2006/relationships/hyperlink" Target="http://www.boe.es/doue/2020/198/L00195-00043.pdf"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1127</Words>
  <Characters>6203</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Plantilla Informes-INECO</vt:lpstr>
    </vt:vector>
  </TitlesOfParts>
  <Company>Gobierno de Navarra</Company>
  <LinksUpToDate>false</LinksUpToDate>
  <CharactersWithSpaces>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Informes-INECO</dc:title>
  <dc:subject/>
  <dc:creator>Andrés Ortega, Silvia</dc:creator>
  <cp:keywords/>
  <cp:lastModifiedBy>X075407</cp:lastModifiedBy>
  <cp:revision>2</cp:revision>
  <dcterms:created xsi:type="dcterms:W3CDTF">2022-05-19T11:29:00Z</dcterms:created>
  <dcterms:modified xsi:type="dcterms:W3CDTF">2022-05-19T11:29:00Z</dcterms:modified>
</cp:coreProperties>
</file>