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A8D" w:rsidRPr="00005712" w:rsidRDefault="009B1A8D" w:rsidP="009B1A8D">
      <w:pPr>
        <w:pStyle w:val="foral-f-titulo2-t2-c"/>
        <w:shd w:val="clear" w:color="auto" w:fill="FFFFFF"/>
        <w:spacing w:before="0" w:beforeAutospacing="0" w:after="0" w:afterAutospacing="0" w:line="276" w:lineRule="auto"/>
        <w:jc w:val="center"/>
        <w:rPr>
          <w:rFonts w:ascii="Arial" w:hAnsi="Arial" w:cs="Arial"/>
          <w:b/>
          <w:bCs/>
          <w:caps/>
          <w:sz w:val="22"/>
          <w:szCs w:val="22"/>
        </w:rPr>
      </w:pPr>
      <w:bookmarkStart w:id="0" w:name="_GoBack"/>
      <w:bookmarkEnd w:id="0"/>
      <w:r w:rsidRPr="00005712">
        <w:rPr>
          <w:rFonts w:ascii="Arial" w:hAnsi="Arial" w:cs="Arial"/>
          <w:b/>
          <w:bCs/>
          <w:caps/>
          <w:sz w:val="22"/>
          <w:szCs w:val="22"/>
        </w:rPr>
        <w:t>ANEXO I</w:t>
      </w:r>
    </w:p>
    <w:p w:rsidR="009B1A8D" w:rsidRDefault="009B1A8D" w:rsidP="009B1A8D">
      <w:pPr>
        <w:spacing w:line="276" w:lineRule="auto"/>
        <w:rPr>
          <w:rFonts w:cs="Arial"/>
          <w:i/>
        </w:rPr>
      </w:pPr>
    </w:p>
    <w:p w:rsidR="009B1A8D" w:rsidRPr="00005712" w:rsidRDefault="009B1A8D" w:rsidP="009B1A8D">
      <w:pPr>
        <w:spacing w:line="276" w:lineRule="auto"/>
        <w:rPr>
          <w:rFonts w:cs="Arial"/>
          <w:i/>
        </w:rPr>
      </w:pPr>
      <w:r w:rsidRPr="00005712">
        <w:rPr>
          <w:rFonts w:cs="Arial"/>
          <w:i/>
        </w:rPr>
        <w:t>BASES REGULADORAS DE LA CONVOCATORIA DE SUBVENCIONES DESTINADAS A LOS AYUNTAMIENTOS DE NAVARRA, PARA FINANCIAR LOS TRABAJOS DE ELABORACIÓN O REVISIÓN DE PLANES GENERALES MUNICIPALES Y PLANES ESPEC</w:t>
      </w:r>
      <w:r>
        <w:rPr>
          <w:rFonts w:cs="Arial"/>
          <w:i/>
        </w:rPr>
        <w:t>IALES, DURANTE EL EJERCICIO 2025</w:t>
      </w:r>
      <w:r w:rsidRPr="00005712">
        <w:rPr>
          <w:rFonts w:cs="Arial"/>
          <w:i/>
        </w:rPr>
        <w:t>.</w:t>
      </w:r>
    </w:p>
    <w:p w:rsidR="009B1A8D" w:rsidRPr="00005712" w:rsidRDefault="009B1A8D" w:rsidP="009B1A8D">
      <w:pPr>
        <w:pStyle w:val="foral-f-titulo4-t8-bis-c"/>
        <w:shd w:val="clear" w:color="auto" w:fill="FFFFFF"/>
        <w:spacing w:before="0" w:beforeAutospacing="0" w:after="0" w:afterAutospacing="0" w:line="276" w:lineRule="auto"/>
        <w:jc w:val="both"/>
        <w:rPr>
          <w:rFonts w:ascii="Arial" w:hAnsi="Arial" w:cs="Arial"/>
          <w:b/>
          <w:bCs/>
          <w:i/>
          <w:iCs/>
          <w:sz w:val="22"/>
          <w:szCs w:val="22"/>
          <w:highlight w:val="yellow"/>
        </w:rPr>
      </w:pPr>
    </w:p>
    <w:p w:rsidR="009B1A8D" w:rsidRPr="00005712" w:rsidRDefault="009B1A8D" w:rsidP="009B1A8D">
      <w:pPr>
        <w:pStyle w:val="Ttulo1"/>
        <w:ind w:left="426" w:hanging="426"/>
        <w:rPr>
          <w:rFonts w:ascii="Arial" w:hAnsi="Arial" w:cs="Arial"/>
          <w:sz w:val="22"/>
          <w:szCs w:val="22"/>
        </w:rPr>
      </w:pPr>
      <w:r w:rsidRPr="00005712">
        <w:rPr>
          <w:rFonts w:ascii="Arial" w:hAnsi="Arial" w:cs="Arial"/>
          <w:sz w:val="22"/>
          <w:szCs w:val="22"/>
        </w:rPr>
        <w:t>Objeto y ámbito de aplicación.</w:t>
      </w:r>
    </w:p>
    <w:p w:rsidR="009B1A8D" w:rsidRPr="00005712" w:rsidRDefault="009B1A8D" w:rsidP="009B1A8D">
      <w:pPr>
        <w:pStyle w:val="foral-f-titulo4-t8-bis-c"/>
        <w:shd w:val="clear" w:color="auto" w:fill="FFFFFF"/>
        <w:spacing w:before="0" w:beforeAutospacing="0" w:after="0" w:afterAutospacing="0" w:line="276" w:lineRule="auto"/>
        <w:jc w:val="both"/>
        <w:rPr>
          <w:rFonts w:ascii="Arial" w:hAnsi="Arial" w:cs="Arial"/>
          <w:b/>
          <w:bCs/>
          <w:i/>
          <w:iCs/>
          <w:sz w:val="22"/>
          <w:szCs w:val="22"/>
          <w:highlight w:val="yellow"/>
        </w:rPr>
      </w:pPr>
    </w:p>
    <w:p w:rsidR="009B1A8D" w:rsidRPr="00005712" w:rsidRDefault="009B1A8D" w:rsidP="009B1A8D">
      <w:pPr>
        <w:pStyle w:val="Default"/>
        <w:numPr>
          <w:ilvl w:val="1"/>
          <w:numId w:val="9"/>
        </w:numPr>
        <w:spacing w:line="276" w:lineRule="auto"/>
        <w:ind w:left="709" w:hanging="709"/>
        <w:jc w:val="both"/>
        <w:rPr>
          <w:color w:val="auto"/>
          <w:sz w:val="22"/>
          <w:szCs w:val="22"/>
        </w:rPr>
      </w:pPr>
      <w:r w:rsidRPr="00005712">
        <w:rPr>
          <w:color w:val="auto"/>
          <w:sz w:val="22"/>
          <w:szCs w:val="22"/>
        </w:rPr>
        <w:t>Las presentes bases tienen por objeto establecer el procedimiento de concesión de subvenciones, en régimen de evaluación individualizada, a los Ayuntamientos de Navarra, destinadas a financiar los trabajos de elaboración o revisión de Planes Generales Municipales.</w:t>
      </w:r>
    </w:p>
    <w:p w:rsidR="009B1A8D" w:rsidRPr="00005712" w:rsidRDefault="009B1A8D" w:rsidP="009B1A8D">
      <w:pPr>
        <w:pStyle w:val="Default"/>
        <w:spacing w:line="276" w:lineRule="auto"/>
        <w:ind w:left="390"/>
        <w:jc w:val="both"/>
        <w:rPr>
          <w:color w:val="auto"/>
          <w:sz w:val="22"/>
          <w:szCs w:val="22"/>
        </w:rPr>
      </w:pPr>
    </w:p>
    <w:p w:rsidR="009B1A8D" w:rsidRPr="00005712" w:rsidRDefault="009B1A8D" w:rsidP="009B1A8D">
      <w:pPr>
        <w:pStyle w:val="Default"/>
        <w:spacing w:line="276" w:lineRule="auto"/>
        <w:ind w:left="708"/>
        <w:jc w:val="both"/>
        <w:rPr>
          <w:color w:val="auto"/>
          <w:sz w:val="22"/>
          <w:szCs w:val="22"/>
        </w:rPr>
      </w:pPr>
      <w:r w:rsidRPr="00005712">
        <w:rPr>
          <w:color w:val="auto"/>
          <w:sz w:val="22"/>
          <w:szCs w:val="22"/>
        </w:rPr>
        <w:t xml:space="preserve">Asimismo, se concederán ayudas a aquellos Ayuntamientos de Navarra para la elaboración de Planes Especiales, que tengan por objeto la ordenación integral de los núcleos urbanos cuyo ámbito de actuación comprenda una superficie mínima de 5 hectáreas, con la finalidad de descongestionar el suelo, crear dotaciones públicas, sanear los barrios, resolver problemas de movilidad o de estética, regular actuaciones de regeneración o renovación urbana, u otros fines análogos. Estos espacios podrán ser coincidentes con las Áreas de Rehabilitación Preferente regulados por la normativa vigente en materia de vivienda. </w:t>
      </w:r>
    </w:p>
    <w:p w:rsidR="009B1A8D" w:rsidRPr="00005712" w:rsidRDefault="009B1A8D" w:rsidP="009B1A8D">
      <w:pPr>
        <w:pStyle w:val="Default"/>
        <w:spacing w:line="276" w:lineRule="auto"/>
        <w:jc w:val="both"/>
        <w:rPr>
          <w:color w:val="auto"/>
          <w:sz w:val="22"/>
          <w:szCs w:val="22"/>
        </w:rPr>
      </w:pPr>
    </w:p>
    <w:p w:rsidR="009B1A8D" w:rsidRPr="00005712" w:rsidRDefault="009B1A8D" w:rsidP="009B1A8D">
      <w:pPr>
        <w:pStyle w:val="Default"/>
        <w:numPr>
          <w:ilvl w:val="1"/>
          <w:numId w:val="9"/>
        </w:numPr>
        <w:spacing w:line="276" w:lineRule="auto"/>
        <w:ind w:left="709" w:hanging="709"/>
        <w:jc w:val="both"/>
        <w:rPr>
          <w:color w:val="auto"/>
          <w:sz w:val="22"/>
          <w:szCs w:val="22"/>
        </w:rPr>
      </w:pPr>
      <w:r w:rsidRPr="00005712">
        <w:rPr>
          <w:color w:val="auto"/>
          <w:sz w:val="22"/>
          <w:szCs w:val="22"/>
        </w:rPr>
        <w:t xml:space="preserve">Quedan excluidas las modificaciones del planeamiento urbanístico vigente y el resto de instrumentos de planeamiento urbanístico. </w:t>
      </w:r>
    </w:p>
    <w:p w:rsidR="009B1A8D" w:rsidRPr="00005712" w:rsidRDefault="009B1A8D" w:rsidP="009B1A8D">
      <w:pPr>
        <w:pStyle w:val="Prrafodelista"/>
        <w:ind w:left="0"/>
        <w:rPr>
          <w:rFonts w:cs="Arial"/>
        </w:rPr>
      </w:pPr>
    </w:p>
    <w:p w:rsidR="009B1A8D" w:rsidRPr="00005712" w:rsidRDefault="009B1A8D" w:rsidP="009B1A8D">
      <w:pPr>
        <w:pStyle w:val="Ttulo1"/>
        <w:ind w:left="426" w:hanging="426"/>
        <w:rPr>
          <w:rFonts w:ascii="Arial" w:hAnsi="Arial" w:cs="Arial"/>
          <w:sz w:val="22"/>
          <w:szCs w:val="22"/>
        </w:rPr>
      </w:pPr>
      <w:r w:rsidRPr="00005712">
        <w:rPr>
          <w:rFonts w:ascii="Arial" w:hAnsi="Arial" w:cs="Arial"/>
          <w:sz w:val="22"/>
          <w:szCs w:val="22"/>
        </w:rPr>
        <w:t>Régimen Jurídico</w:t>
      </w:r>
    </w:p>
    <w:p w:rsidR="009B1A8D" w:rsidRPr="00005712" w:rsidRDefault="009B1A8D" w:rsidP="009B1A8D">
      <w:pPr>
        <w:pStyle w:val="foral-f-titulo4-t8-c"/>
        <w:shd w:val="clear" w:color="auto" w:fill="FFFFFF"/>
        <w:spacing w:before="0" w:beforeAutospacing="0" w:after="0" w:afterAutospacing="0" w:line="276" w:lineRule="auto"/>
        <w:jc w:val="both"/>
        <w:rPr>
          <w:rFonts w:ascii="Arial" w:hAnsi="Arial" w:cs="Arial"/>
          <w:bCs/>
          <w:iCs/>
          <w:sz w:val="22"/>
          <w:szCs w:val="22"/>
          <w:highlight w:val="yellow"/>
        </w:rPr>
      </w:pPr>
    </w:p>
    <w:p w:rsidR="009B1A8D" w:rsidRPr="00005712" w:rsidRDefault="009B1A8D" w:rsidP="009B1A8D">
      <w:pPr>
        <w:pStyle w:val="Default"/>
        <w:spacing w:line="276" w:lineRule="auto"/>
        <w:ind w:left="708"/>
        <w:jc w:val="both"/>
        <w:rPr>
          <w:color w:val="auto"/>
          <w:sz w:val="22"/>
          <w:szCs w:val="22"/>
        </w:rPr>
      </w:pPr>
      <w:r w:rsidRPr="00005712">
        <w:rPr>
          <w:color w:val="auto"/>
          <w:sz w:val="22"/>
          <w:szCs w:val="22"/>
        </w:rPr>
        <w:t>Las subvenciones a las que se refieren las presentes bases se regirán, además de por lo previsto en las mismas, por el Decreto Foral 98/2022, de 16 de noviembre, por el que se regula el régimen de ayudas para la elaboración de planeamiento urbanístico municipal, por lo establecido en la Ley Foral 11/2005, de 9 de noviembre, de Subvenciones y demás normativa que sea de aplicación en materia de subvenciones.</w:t>
      </w:r>
    </w:p>
    <w:p w:rsidR="009B1A8D" w:rsidRPr="00005712" w:rsidRDefault="009B1A8D" w:rsidP="009B1A8D">
      <w:pPr>
        <w:pStyle w:val="Prrafodelista"/>
        <w:rPr>
          <w:rFonts w:cs="Arial"/>
        </w:rPr>
      </w:pPr>
    </w:p>
    <w:p w:rsidR="009B1A8D" w:rsidRPr="00005712" w:rsidRDefault="009B1A8D" w:rsidP="009B1A8D">
      <w:pPr>
        <w:pStyle w:val="Ttulo1"/>
        <w:ind w:left="426" w:hanging="426"/>
        <w:rPr>
          <w:rFonts w:ascii="Arial" w:hAnsi="Arial" w:cs="Arial"/>
          <w:sz w:val="22"/>
          <w:szCs w:val="22"/>
        </w:rPr>
      </w:pPr>
      <w:r w:rsidRPr="00005712">
        <w:rPr>
          <w:rFonts w:ascii="Arial" w:hAnsi="Arial" w:cs="Arial"/>
          <w:sz w:val="22"/>
          <w:szCs w:val="22"/>
        </w:rPr>
        <w:t>Beneficiarios y requisitos.</w:t>
      </w:r>
    </w:p>
    <w:p w:rsidR="009B1A8D" w:rsidRPr="00005712" w:rsidRDefault="009B1A8D" w:rsidP="009B1A8D">
      <w:pPr>
        <w:pStyle w:val="Default"/>
        <w:spacing w:line="276" w:lineRule="auto"/>
        <w:jc w:val="both"/>
        <w:rPr>
          <w:color w:val="auto"/>
          <w:sz w:val="22"/>
          <w:szCs w:val="22"/>
        </w:rPr>
      </w:pPr>
    </w:p>
    <w:p w:rsidR="009B1A8D" w:rsidRPr="00005712" w:rsidRDefault="009B1A8D" w:rsidP="009B1A8D">
      <w:pPr>
        <w:pStyle w:val="Default"/>
        <w:numPr>
          <w:ilvl w:val="1"/>
          <w:numId w:val="14"/>
        </w:numPr>
        <w:spacing w:line="276" w:lineRule="auto"/>
        <w:ind w:left="709" w:hanging="709"/>
        <w:jc w:val="both"/>
        <w:rPr>
          <w:color w:val="auto"/>
          <w:sz w:val="22"/>
          <w:szCs w:val="22"/>
        </w:rPr>
      </w:pPr>
      <w:r w:rsidRPr="00005712">
        <w:rPr>
          <w:color w:val="auto"/>
          <w:sz w:val="22"/>
          <w:szCs w:val="22"/>
        </w:rPr>
        <w:t xml:space="preserve">Podrán acogerse a esta convocatoria aquellos Ayuntamientos de Navarra que hayan iniciado la tramitación del proceso de elaboración o revisión del Plan General Municipal o del Plan Especial, y hayan culminado alguna de las fases del procedimiento previstas en las tablas señaladas en </w:t>
      </w:r>
      <w:r>
        <w:rPr>
          <w:color w:val="auto"/>
          <w:sz w:val="22"/>
          <w:szCs w:val="22"/>
        </w:rPr>
        <w:t>la base</w:t>
      </w:r>
      <w:r w:rsidRPr="00005712">
        <w:rPr>
          <w:color w:val="auto"/>
          <w:sz w:val="22"/>
          <w:szCs w:val="22"/>
        </w:rPr>
        <w:t xml:space="preserve"> 4</w:t>
      </w:r>
      <w:r>
        <w:rPr>
          <w:color w:val="auto"/>
          <w:sz w:val="22"/>
          <w:szCs w:val="22"/>
        </w:rPr>
        <w:t>ª</w:t>
      </w:r>
      <w:r w:rsidRPr="00005712">
        <w:rPr>
          <w:color w:val="auto"/>
          <w:sz w:val="22"/>
          <w:szCs w:val="22"/>
        </w:rPr>
        <w:t xml:space="preserve">. </w:t>
      </w:r>
    </w:p>
    <w:p w:rsidR="009B1A8D" w:rsidRPr="00005712" w:rsidRDefault="009B1A8D" w:rsidP="009B1A8D">
      <w:pPr>
        <w:pStyle w:val="Default"/>
        <w:spacing w:line="276" w:lineRule="auto"/>
        <w:ind w:left="709" w:hanging="709"/>
        <w:jc w:val="both"/>
        <w:rPr>
          <w:color w:val="auto"/>
          <w:sz w:val="22"/>
          <w:szCs w:val="22"/>
        </w:rPr>
      </w:pPr>
    </w:p>
    <w:p w:rsidR="009B1A8D" w:rsidRPr="00005712" w:rsidRDefault="009B1A8D" w:rsidP="009B1A8D">
      <w:pPr>
        <w:pStyle w:val="Default"/>
        <w:numPr>
          <w:ilvl w:val="1"/>
          <w:numId w:val="14"/>
        </w:numPr>
        <w:spacing w:line="276" w:lineRule="auto"/>
        <w:ind w:left="709" w:hanging="709"/>
        <w:jc w:val="both"/>
        <w:rPr>
          <w:color w:val="auto"/>
          <w:sz w:val="22"/>
          <w:szCs w:val="22"/>
        </w:rPr>
      </w:pPr>
      <w:r w:rsidRPr="00005712">
        <w:rPr>
          <w:color w:val="auto"/>
          <w:sz w:val="22"/>
          <w:szCs w:val="22"/>
        </w:rPr>
        <w:t>Será condición necesaria para optar a las ayudas reguladas en la presente convocatoria, la suscripción previa de un Convenio de Colaboración con el Departamento en los términos previstos en el artículo 3.2 del Decreto Foral 98/2022.</w:t>
      </w:r>
    </w:p>
    <w:p w:rsidR="009B1A8D" w:rsidRPr="00005712" w:rsidRDefault="009B1A8D" w:rsidP="009B1A8D">
      <w:pPr>
        <w:pStyle w:val="Default"/>
        <w:spacing w:line="276" w:lineRule="auto"/>
        <w:ind w:left="709" w:hanging="709"/>
        <w:jc w:val="both"/>
        <w:rPr>
          <w:color w:val="auto"/>
          <w:sz w:val="22"/>
          <w:szCs w:val="22"/>
        </w:rPr>
      </w:pPr>
    </w:p>
    <w:p w:rsidR="009B1A8D" w:rsidRPr="00005712" w:rsidRDefault="009B1A8D" w:rsidP="009B1A8D">
      <w:pPr>
        <w:pStyle w:val="Default"/>
        <w:spacing w:line="276" w:lineRule="auto"/>
        <w:ind w:left="709" w:right="-1" w:hanging="709"/>
        <w:jc w:val="both"/>
        <w:rPr>
          <w:color w:val="auto"/>
          <w:sz w:val="22"/>
          <w:szCs w:val="22"/>
        </w:rPr>
      </w:pPr>
      <w:r w:rsidRPr="00005712">
        <w:rPr>
          <w:color w:val="auto"/>
          <w:sz w:val="22"/>
          <w:szCs w:val="22"/>
        </w:rPr>
        <w:t>3.3   No podrán obtener la condición de beneficiarios de las subvenciones objeto de esta convocatoria aquellos Ayuntamientos en quienes concurra alguna de las circunstancias señaladas en el artículo 13.2 de la Ley Foral 11/2005, de 9 de noviembre, de Subvenciones.</w:t>
      </w:r>
    </w:p>
    <w:p w:rsidR="009B1A8D" w:rsidRPr="00005712" w:rsidRDefault="009B1A8D" w:rsidP="009B1A8D">
      <w:pPr>
        <w:pStyle w:val="Prrafodelista"/>
        <w:rPr>
          <w:rFonts w:cs="Arial"/>
        </w:rPr>
      </w:pPr>
    </w:p>
    <w:p w:rsidR="009B1A8D" w:rsidRPr="00005712" w:rsidRDefault="009B1A8D" w:rsidP="009B1A8D">
      <w:pPr>
        <w:pStyle w:val="Ttulo1"/>
        <w:ind w:left="426" w:hanging="426"/>
        <w:rPr>
          <w:rFonts w:ascii="Arial" w:hAnsi="Arial" w:cs="Arial"/>
          <w:sz w:val="22"/>
          <w:szCs w:val="22"/>
        </w:rPr>
      </w:pPr>
      <w:r w:rsidRPr="00005712">
        <w:rPr>
          <w:rFonts w:ascii="Arial" w:hAnsi="Arial" w:cs="Arial"/>
          <w:sz w:val="22"/>
          <w:szCs w:val="22"/>
        </w:rPr>
        <w:t>Cuantía y límites de la subvención</w:t>
      </w:r>
    </w:p>
    <w:p w:rsidR="009B1A8D" w:rsidRPr="00005712" w:rsidRDefault="009B1A8D" w:rsidP="009B1A8D">
      <w:pPr>
        <w:pStyle w:val="Default"/>
        <w:spacing w:line="276" w:lineRule="auto"/>
        <w:jc w:val="both"/>
        <w:rPr>
          <w:color w:val="auto"/>
          <w:sz w:val="22"/>
          <w:szCs w:val="22"/>
        </w:rPr>
      </w:pPr>
    </w:p>
    <w:p w:rsidR="009B1A8D" w:rsidRPr="00005712" w:rsidRDefault="009B1A8D" w:rsidP="009B1A8D">
      <w:pPr>
        <w:pStyle w:val="Default"/>
        <w:spacing w:line="276" w:lineRule="auto"/>
        <w:ind w:left="709" w:hanging="709"/>
        <w:jc w:val="both"/>
        <w:rPr>
          <w:color w:val="auto"/>
          <w:sz w:val="22"/>
          <w:szCs w:val="22"/>
        </w:rPr>
      </w:pPr>
      <w:r w:rsidRPr="00005712">
        <w:rPr>
          <w:color w:val="auto"/>
          <w:sz w:val="22"/>
          <w:szCs w:val="22"/>
        </w:rPr>
        <w:t>4.1</w:t>
      </w:r>
      <w:r w:rsidRPr="00005712">
        <w:rPr>
          <w:color w:val="auto"/>
          <w:sz w:val="22"/>
          <w:szCs w:val="22"/>
        </w:rPr>
        <w:tab/>
        <w:t xml:space="preserve">Las cuantías máximas de las subvenciones para cada una de las fases de elaboración de los Planes Generales Municipales, no podrán superar los límites, que en atención a los correspondientes tramos de población se relacionan en la tabla dispuesta a continuación: </w:t>
      </w:r>
    </w:p>
    <w:p w:rsidR="009B1A8D" w:rsidRPr="00005712" w:rsidRDefault="009B1A8D" w:rsidP="009B1A8D">
      <w:pPr>
        <w:pStyle w:val="Default"/>
        <w:spacing w:line="276" w:lineRule="auto"/>
        <w:ind w:left="709"/>
        <w:jc w:val="both"/>
        <w:rPr>
          <w:color w:val="auto"/>
          <w:sz w:val="22"/>
          <w:szCs w:val="22"/>
        </w:rPr>
      </w:pP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7"/>
        <w:gridCol w:w="1332"/>
        <w:gridCol w:w="1332"/>
        <w:gridCol w:w="1333"/>
        <w:gridCol w:w="1332"/>
        <w:gridCol w:w="1333"/>
        <w:gridCol w:w="1135"/>
      </w:tblGrid>
      <w:tr w:rsidR="009B1A8D" w:rsidRPr="00005712" w:rsidTr="00BF1ACF">
        <w:trPr>
          <w:trHeight w:val="247"/>
          <w:jc w:val="center"/>
        </w:trPr>
        <w:tc>
          <w:tcPr>
            <w:tcW w:w="9714" w:type="dxa"/>
            <w:gridSpan w:val="7"/>
          </w:tcPr>
          <w:p w:rsidR="009B1A8D" w:rsidRPr="00CD46BC" w:rsidRDefault="009B1A8D" w:rsidP="00BF1ACF">
            <w:pPr>
              <w:pStyle w:val="Default"/>
              <w:spacing w:line="276" w:lineRule="auto"/>
              <w:rPr>
                <w:b/>
                <w:bCs/>
                <w:color w:val="auto"/>
                <w:sz w:val="20"/>
                <w:szCs w:val="20"/>
              </w:rPr>
            </w:pPr>
            <w:r w:rsidRPr="00CD46BC">
              <w:rPr>
                <w:b/>
                <w:color w:val="auto"/>
                <w:sz w:val="20"/>
                <w:szCs w:val="20"/>
              </w:rPr>
              <w:t>Cuantías máximas de subvención para la elaboración de los Planes Generales Municipales.</w:t>
            </w:r>
          </w:p>
        </w:tc>
      </w:tr>
      <w:tr w:rsidR="009B1A8D" w:rsidRPr="00005712" w:rsidTr="00BF1ACF">
        <w:trPr>
          <w:trHeight w:val="247"/>
          <w:jc w:val="center"/>
        </w:trPr>
        <w:tc>
          <w:tcPr>
            <w:tcW w:w="1917" w:type="dxa"/>
            <w:vMerge w:val="restart"/>
          </w:tcPr>
          <w:p w:rsidR="009B1A8D" w:rsidRPr="00DB5299" w:rsidRDefault="009B1A8D" w:rsidP="00BF1ACF">
            <w:pPr>
              <w:pStyle w:val="Default"/>
              <w:spacing w:line="276" w:lineRule="auto"/>
              <w:rPr>
                <w:color w:val="auto"/>
                <w:sz w:val="20"/>
                <w:szCs w:val="20"/>
              </w:rPr>
            </w:pPr>
            <w:r w:rsidRPr="00DB5299">
              <w:rPr>
                <w:b/>
                <w:bCs/>
                <w:color w:val="auto"/>
                <w:sz w:val="20"/>
                <w:szCs w:val="20"/>
              </w:rPr>
              <w:t>Municipios con población</w:t>
            </w:r>
          </w:p>
        </w:tc>
        <w:tc>
          <w:tcPr>
            <w:tcW w:w="6662" w:type="dxa"/>
            <w:gridSpan w:val="5"/>
          </w:tcPr>
          <w:p w:rsidR="009B1A8D" w:rsidRPr="00DB5299" w:rsidRDefault="009B1A8D" w:rsidP="00BF1ACF">
            <w:pPr>
              <w:pStyle w:val="Default"/>
              <w:spacing w:line="276" w:lineRule="auto"/>
              <w:jc w:val="center"/>
              <w:rPr>
                <w:color w:val="auto"/>
                <w:sz w:val="20"/>
                <w:szCs w:val="20"/>
              </w:rPr>
            </w:pPr>
            <w:r w:rsidRPr="00DB5299">
              <w:rPr>
                <w:b/>
                <w:bCs/>
                <w:color w:val="auto"/>
                <w:sz w:val="20"/>
                <w:szCs w:val="20"/>
              </w:rPr>
              <w:t>Cuantías máximas por fases (IVA incluido)</w:t>
            </w:r>
          </w:p>
        </w:tc>
        <w:tc>
          <w:tcPr>
            <w:tcW w:w="1135" w:type="dxa"/>
            <w:vMerge w:val="restart"/>
          </w:tcPr>
          <w:p w:rsidR="009B1A8D" w:rsidRPr="00DB5299" w:rsidRDefault="009B1A8D" w:rsidP="00BF1ACF">
            <w:pPr>
              <w:pStyle w:val="Default"/>
              <w:spacing w:line="276" w:lineRule="auto"/>
              <w:jc w:val="center"/>
              <w:rPr>
                <w:color w:val="auto"/>
                <w:sz w:val="20"/>
                <w:szCs w:val="20"/>
              </w:rPr>
            </w:pPr>
            <w:r w:rsidRPr="00DB5299">
              <w:rPr>
                <w:b/>
                <w:bCs/>
                <w:color w:val="auto"/>
                <w:sz w:val="20"/>
                <w:szCs w:val="20"/>
              </w:rPr>
              <w:t>Importe máximo (IVA incluido)</w:t>
            </w:r>
          </w:p>
        </w:tc>
      </w:tr>
      <w:tr w:rsidR="009B1A8D" w:rsidRPr="00005712" w:rsidTr="00BF1ACF">
        <w:trPr>
          <w:trHeight w:val="247"/>
          <w:jc w:val="center"/>
        </w:trPr>
        <w:tc>
          <w:tcPr>
            <w:tcW w:w="1917" w:type="dxa"/>
            <w:vMerge/>
          </w:tcPr>
          <w:p w:rsidR="009B1A8D" w:rsidRPr="00DB5299" w:rsidRDefault="009B1A8D" w:rsidP="00BF1ACF">
            <w:pPr>
              <w:pStyle w:val="Default"/>
              <w:spacing w:line="276" w:lineRule="auto"/>
              <w:rPr>
                <w:color w:val="auto"/>
                <w:sz w:val="20"/>
                <w:szCs w:val="20"/>
              </w:rPr>
            </w:pPr>
          </w:p>
        </w:tc>
        <w:tc>
          <w:tcPr>
            <w:tcW w:w="1332" w:type="dxa"/>
          </w:tcPr>
          <w:p w:rsidR="009B1A8D" w:rsidRPr="00DB5299" w:rsidRDefault="009B1A8D" w:rsidP="00BF1ACF">
            <w:pPr>
              <w:pStyle w:val="Default"/>
              <w:spacing w:line="276" w:lineRule="auto"/>
              <w:rPr>
                <w:color w:val="auto"/>
                <w:sz w:val="20"/>
                <w:szCs w:val="20"/>
              </w:rPr>
            </w:pPr>
            <w:r w:rsidRPr="00DB5299">
              <w:rPr>
                <w:b/>
                <w:bCs/>
                <w:color w:val="auto"/>
                <w:sz w:val="20"/>
                <w:szCs w:val="20"/>
              </w:rPr>
              <w:t xml:space="preserve">15% </w:t>
            </w:r>
          </w:p>
        </w:tc>
        <w:tc>
          <w:tcPr>
            <w:tcW w:w="1332" w:type="dxa"/>
          </w:tcPr>
          <w:p w:rsidR="009B1A8D" w:rsidRPr="00DB5299" w:rsidRDefault="009B1A8D" w:rsidP="00BF1ACF">
            <w:pPr>
              <w:pStyle w:val="Default"/>
              <w:spacing w:line="276" w:lineRule="auto"/>
              <w:rPr>
                <w:color w:val="auto"/>
                <w:sz w:val="20"/>
                <w:szCs w:val="20"/>
              </w:rPr>
            </w:pPr>
            <w:r w:rsidRPr="00DB5299">
              <w:rPr>
                <w:b/>
                <w:bCs/>
                <w:color w:val="auto"/>
                <w:sz w:val="20"/>
                <w:szCs w:val="20"/>
              </w:rPr>
              <w:t xml:space="preserve">15% </w:t>
            </w:r>
          </w:p>
        </w:tc>
        <w:tc>
          <w:tcPr>
            <w:tcW w:w="1333" w:type="dxa"/>
          </w:tcPr>
          <w:p w:rsidR="009B1A8D" w:rsidRPr="00DB5299" w:rsidRDefault="009B1A8D" w:rsidP="00BF1ACF">
            <w:pPr>
              <w:pStyle w:val="Default"/>
              <w:spacing w:line="276" w:lineRule="auto"/>
              <w:rPr>
                <w:color w:val="auto"/>
                <w:sz w:val="20"/>
                <w:szCs w:val="20"/>
              </w:rPr>
            </w:pPr>
            <w:r w:rsidRPr="00DB5299">
              <w:rPr>
                <w:b/>
                <w:bCs/>
                <w:color w:val="auto"/>
                <w:sz w:val="20"/>
                <w:szCs w:val="20"/>
              </w:rPr>
              <w:t xml:space="preserve">35% </w:t>
            </w:r>
          </w:p>
        </w:tc>
        <w:tc>
          <w:tcPr>
            <w:tcW w:w="1332" w:type="dxa"/>
          </w:tcPr>
          <w:p w:rsidR="009B1A8D" w:rsidRPr="00DB5299" w:rsidRDefault="009B1A8D" w:rsidP="00BF1ACF">
            <w:pPr>
              <w:pStyle w:val="Default"/>
              <w:spacing w:line="276" w:lineRule="auto"/>
              <w:rPr>
                <w:color w:val="auto"/>
                <w:sz w:val="20"/>
                <w:szCs w:val="20"/>
              </w:rPr>
            </w:pPr>
            <w:r w:rsidRPr="00DB5299">
              <w:rPr>
                <w:b/>
                <w:bCs/>
                <w:color w:val="auto"/>
                <w:sz w:val="20"/>
                <w:szCs w:val="20"/>
              </w:rPr>
              <w:t xml:space="preserve">25% </w:t>
            </w:r>
          </w:p>
        </w:tc>
        <w:tc>
          <w:tcPr>
            <w:tcW w:w="1333" w:type="dxa"/>
          </w:tcPr>
          <w:p w:rsidR="009B1A8D" w:rsidRPr="00DB5299" w:rsidRDefault="009B1A8D" w:rsidP="00BF1ACF">
            <w:pPr>
              <w:pStyle w:val="Default"/>
              <w:spacing w:line="276" w:lineRule="auto"/>
              <w:rPr>
                <w:color w:val="auto"/>
                <w:sz w:val="20"/>
                <w:szCs w:val="20"/>
              </w:rPr>
            </w:pPr>
            <w:r w:rsidRPr="00DB5299">
              <w:rPr>
                <w:b/>
                <w:bCs/>
                <w:color w:val="auto"/>
                <w:sz w:val="20"/>
                <w:szCs w:val="20"/>
              </w:rPr>
              <w:t xml:space="preserve">10% </w:t>
            </w:r>
          </w:p>
        </w:tc>
        <w:tc>
          <w:tcPr>
            <w:tcW w:w="1135" w:type="dxa"/>
            <w:vMerge/>
          </w:tcPr>
          <w:p w:rsidR="009B1A8D" w:rsidRPr="00DB5299" w:rsidRDefault="009B1A8D" w:rsidP="00BF1ACF">
            <w:pPr>
              <w:pStyle w:val="Default"/>
              <w:spacing w:line="276" w:lineRule="auto"/>
              <w:rPr>
                <w:color w:val="auto"/>
                <w:sz w:val="20"/>
                <w:szCs w:val="20"/>
              </w:rPr>
            </w:pPr>
          </w:p>
        </w:tc>
      </w:tr>
      <w:tr w:rsidR="009B1A8D" w:rsidRPr="00005712" w:rsidTr="00BF1ACF">
        <w:trPr>
          <w:trHeight w:val="247"/>
          <w:jc w:val="center"/>
        </w:trPr>
        <w:tc>
          <w:tcPr>
            <w:tcW w:w="1917" w:type="dxa"/>
            <w:vMerge/>
          </w:tcPr>
          <w:p w:rsidR="009B1A8D" w:rsidRPr="00DB5299" w:rsidRDefault="009B1A8D" w:rsidP="00BF1ACF">
            <w:pPr>
              <w:pStyle w:val="Default"/>
              <w:spacing w:line="276" w:lineRule="auto"/>
              <w:rPr>
                <w:color w:val="auto"/>
                <w:sz w:val="20"/>
                <w:szCs w:val="20"/>
              </w:rPr>
            </w:pPr>
          </w:p>
        </w:tc>
        <w:tc>
          <w:tcPr>
            <w:tcW w:w="1332" w:type="dxa"/>
          </w:tcPr>
          <w:p w:rsidR="009B1A8D" w:rsidRPr="00DB5299" w:rsidRDefault="009B1A8D" w:rsidP="00BF1ACF">
            <w:pPr>
              <w:pStyle w:val="Default"/>
              <w:spacing w:line="276" w:lineRule="auto"/>
              <w:rPr>
                <w:color w:val="auto"/>
                <w:sz w:val="20"/>
                <w:szCs w:val="20"/>
              </w:rPr>
            </w:pPr>
            <w:r w:rsidRPr="00DB5299">
              <w:rPr>
                <w:b/>
                <w:bCs/>
                <w:color w:val="auto"/>
                <w:sz w:val="20"/>
                <w:szCs w:val="20"/>
              </w:rPr>
              <w:t xml:space="preserve">Aprobación EMOT Ayto. </w:t>
            </w:r>
          </w:p>
        </w:tc>
        <w:tc>
          <w:tcPr>
            <w:tcW w:w="1332" w:type="dxa"/>
          </w:tcPr>
          <w:p w:rsidR="009B1A8D" w:rsidRPr="00DB5299" w:rsidRDefault="009B1A8D" w:rsidP="00BF1ACF">
            <w:pPr>
              <w:pStyle w:val="Default"/>
              <w:spacing w:line="276" w:lineRule="auto"/>
              <w:rPr>
                <w:color w:val="auto"/>
                <w:sz w:val="20"/>
                <w:szCs w:val="20"/>
              </w:rPr>
            </w:pPr>
            <w:r w:rsidRPr="00DB5299">
              <w:rPr>
                <w:b/>
                <w:bCs/>
                <w:color w:val="auto"/>
                <w:sz w:val="20"/>
                <w:szCs w:val="20"/>
              </w:rPr>
              <w:t xml:space="preserve">Aprobación EMOT COT </w:t>
            </w:r>
          </w:p>
        </w:tc>
        <w:tc>
          <w:tcPr>
            <w:tcW w:w="1333" w:type="dxa"/>
          </w:tcPr>
          <w:p w:rsidR="009B1A8D" w:rsidRPr="00DB5299" w:rsidRDefault="009B1A8D" w:rsidP="00BF1ACF">
            <w:pPr>
              <w:pStyle w:val="Default"/>
              <w:spacing w:line="276" w:lineRule="auto"/>
              <w:rPr>
                <w:color w:val="auto"/>
                <w:sz w:val="20"/>
                <w:szCs w:val="20"/>
              </w:rPr>
            </w:pPr>
            <w:r w:rsidRPr="00DB5299">
              <w:rPr>
                <w:b/>
                <w:bCs/>
                <w:color w:val="auto"/>
                <w:sz w:val="20"/>
                <w:szCs w:val="20"/>
              </w:rPr>
              <w:t xml:space="preserve">Aprobación Inicial </w:t>
            </w:r>
          </w:p>
        </w:tc>
        <w:tc>
          <w:tcPr>
            <w:tcW w:w="1332" w:type="dxa"/>
          </w:tcPr>
          <w:p w:rsidR="009B1A8D" w:rsidRPr="00DB5299" w:rsidRDefault="009B1A8D" w:rsidP="00BF1ACF">
            <w:pPr>
              <w:pStyle w:val="Default"/>
              <w:spacing w:line="276" w:lineRule="auto"/>
              <w:rPr>
                <w:color w:val="auto"/>
                <w:sz w:val="20"/>
                <w:szCs w:val="20"/>
              </w:rPr>
            </w:pPr>
            <w:r w:rsidRPr="00DB5299">
              <w:rPr>
                <w:b/>
                <w:bCs/>
                <w:color w:val="auto"/>
                <w:sz w:val="20"/>
                <w:szCs w:val="20"/>
              </w:rPr>
              <w:t xml:space="preserve">Aprobación provisional </w:t>
            </w:r>
          </w:p>
        </w:tc>
        <w:tc>
          <w:tcPr>
            <w:tcW w:w="1333" w:type="dxa"/>
          </w:tcPr>
          <w:p w:rsidR="009B1A8D" w:rsidRPr="00DB5299" w:rsidRDefault="009B1A8D" w:rsidP="00BF1ACF">
            <w:pPr>
              <w:pStyle w:val="Default"/>
              <w:spacing w:line="276" w:lineRule="auto"/>
              <w:rPr>
                <w:color w:val="auto"/>
                <w:sz w:val="20"/>
                <w:szCs w:val="20"/>
              </w:rPr>
            </w:pPr>
            <w:r w:rsidRPr="00DB5299">
              <w:rPr>
                <w:b/>
                <w:bCs/>
                <w:color w:val="auto"/>
                <w:sz w:val="20"/>
                <w:szCs w:val="20"/>
              </w:rPr>
              <w:t xml:space="preserve">Aprobación definitiva </w:t>
            </w:r>
          </w:p>
        </w:tc>
        <w:tc>
          <w:tcPr>
            <w:tcW w:w="1135" w:type="dxa"/>
            <w:vMerge/>
          </w:tcPr>
          <w:p w:rsidR="009B1A8D" w:rsidRPr="00DB5299" w:rsidRDefault="009B1A8D" w:rsidP="00BF1ACF">
            <w:pPr>
              <w:pStyle w:val="Default"/>
              <w:spacing w:line="276" w:lineRule="auto"/>
              <w:rPr>
                <w:color w:val="auto"/>
                <w:sz w:val="20"/>
                <w:szCs w:val="20"/>
              </w:rPr>
            </w:pPr>
          </w:p>
        </w:tc>
      </w:tr>
      <w:tr w:rsidR="009B1A8D" w:rsidRPr="00005712" w:rsidTr="00BF1ACF">
        <w:trPr>
          <w:trHeight w:val="93"/>
          <w:jc w:val="center"/>
        </w:trPr>
        <w:tc>
          <w:tcPr>
            <w:tcW w:w="1917" w:type="dxa"/>
          </w:tcPr>
          <w:p w:rsidR="009B1A8D" w:rsidRPr="00DB5299" w:rsidRDefault="009B1A8D" w:rsidP="00BF1ACF">
            <w:pPr>
              <w:pStyle w:val="Default"/>
              <w:spacing w:line="276" w:lineRule="auto"/>
              <w:rPr>
                <w:color w:val="auto"/>
                <w:sz w:val="20"/>
                <w:szCs w:val="20"/>
              </w:rPr>
            </w:pPr>
            <w:r w:rsidRPr="00DB5299">
              <w:rPr>
                <w:color w:val="auto"/>
                <w:sz w:val="20"/>
                <w:szCs w:val="20"/>
              </w:rPr>
              <w:t xml:space="preserve">- 1.000 Hab. </w:t>
            </w:r>
          </w:p>
        </w:tc>
        <w:tc>
          <w:tcPr>
            <w:tcW w:w="1332" w:type="dxa"/>
          </w:tcPr>
          <w:p w:rsidR="009B1A8D" w:rsidRPr="00DB5299" w:rsidRDefault="009B1A8D" w:rsidP="00BF1ACF">
            <w:pPr>
              <w:pStyle w:val="Default"/>
              <w:spacing w:line="276" w:lineRule="auto"/>
              <w:rPr>
                <w:color w:val="auto"/>
                <w:sz w:val="20"/>
                <w:szCs w:val="20"/>
              </w:rPr>
            </w:pPr>
            <w:r w:rsidRPr="00DB5299">
              <w:rPr>
                <w:color w:val="auto"/>
                <w:sz w:val="20"/>
                <w:szCs w:val="20"/>
              </w:rPr>
              <w:t xml:space="preserve">18.000 € </w:t>
            </w:r>
          </w:p>
        </w:tc>
        <w:tc>
          <w:tcPr>
            <w:tcW w:w="1332" w:type="dxa"/>
          </w:tcPr>
          <w:p w:rsidR="009B1A8D" w:rsidRPr="00DB5299" w:rsidRDefault="009B1A8D" w:rsidP="00BF1ACF">
            <w:pPr>
              <w:pStyle w:val="Default"/>
              <w:spacing w:line="276" w:lineRule="auto"/>
              <w:rPr>
                <w:color w:val="auto"/>
                <w:sz w:val="20"/>
                <w:szCs w:val="20"/>
              </w:rPr>
            </w:pPr>
            <w:r w:rsidRPr="00DB5299">
              <w:rPr>
                <w:color w:val="auto"/>
                <w:sz w:val="20"/>
                <w:szCs w:val="20"/>
              </w:rPr>
              <w:t xml:space="preserve">18.000 € </w:t>
            </w:r>
          </w:p>
        </w:tc>
        <w:tc>
          <w:tcPr>
            <w:tcW w:w="1333" w:type="dxa"/>
          </w:tcPr>
          <w:p w:rsidR="009B1A8D" w:rsidRPr="00DB5299" w:rsidRDefault="009B1A8D" w:rsidP="00BF1ACF">
            <w:pPr>
              <w:pStyle w:val="Default"/>
              <w:spacing w:line="276" w:lineRule="auto"/>
              <w:rPr>
                <w:color w:val="auto"/>
                <w:sz w:val="20"/>
                <w:szCs w:val="20"/>
              </w:rPr>
            </w:pPr>
            <w:r w:rsidRPr="00DB5299">
              <w:rPr>
                <w:color w:val="auto"/>
                <w:sz w:val="20"/>
                <w:szCs w:val="20"/>
              </w:rPr>
              <w:t xml:space="preserve">42.000 € </w:t>
            </w:r>
          </w:p>
        </w:tc>
        <w:tc>
          <w:tcPr>
            <w:tcW w:w="1332" w:type="dxa"/>
          </w:tcPr>
          <w:p w:rsidR="009B1A8D" w:rsidRPr="00DB5299" w:rsidRDefault="009B1A8D" w:rsidP="00BF1ACF">
            <w:pPr>
              <w:pStyle w:val="Default"/>
              <w:spacing w:line="276" w:lineRule="auto"/>
              <w:rPr>
                <w:color w:val="auto"/>
                <w:sz w:val="20"/>
                <w:szCs w:val="20"/>
              </w:rPr>
            </w:pPr>
            <w:r w:rsidRPr="00DB5299">
              <w:rPr>
                <w:color w:val="auto"/>
                <w:sz w:val="20"/>
                <w:szCs w:val="20"/>
              </w:rPr>
              <w:t xml:space="preserve">30.000 € </w:t>
            </w:r>
          </w:p>
        </w:tc>
        <w:tc>
          <w:tcPr>
            <w:tcW w:w="1333" w:type="dxa"/>
          </w:tcPr>
          <w:p w:rsidR="009B1A8D" w:rsidRPr="00DB5299" w:rsidRDefault="009B1A8D" w:rsidP="00BF1ACF">
            <w:pPr>
              <w:pStyle w:val="Default"/>
              <w:spacing w:line="276" w:lineRule="auto"/>
              <w:rPr>
                <w:color w:val="auto"/>
                <w:sz w:val="20"/>
                <w:szCs w:val="20"/>
              </w:rPr>
            </w:pPr>
            <w:r w:rsidRPr="00DB5299">
              <w:rPr>
                <w:color w:val="auto"/>
                <w:sz w:val="20"/>
                <w:szCs w:val="20"/>
              </w:rPr>
              <w:t xml:space="preserve">12.000 € </w:t>
            </w:r>
          </w:p>
        </w:tc>
        <w:tc>
          <w:tcPr>
            <w:tcW w:w="1135" w:type="dxa"/>
          </w:tcPr>
          <w:p w:rsidR="009B1A8D" w:rsidRPr="00DB5299" w:rsidRDefault="009B1A8D" w:rsidP="00BF1ACF">
            <w:pPr>
              <w:pStyle w:val="Default"/>
              <w:spacing w:line="276" w:lineRule="auto"/>
              <w:rPr>
                <w:color w:val="auto"/>
                <w:sz w:val="20"/>
                <w:szCs w:val="20"/>
              </w:rPr>
            </w:pPr>
            <w:r w:rsidRPr="00DB5299">
              <w:rPr>
                <w:b/>
                <w:bCs/>
                <w:color w:val="auto"/>
                <w:sz w:val="20"/>
                <w:szCs w:val="20"/>
              </w:rPr>
              <w:t xml:space="preserve">120.000 € </w:t>
            </w:r>
          </w:p>
        </w:tc>
      </w:tr>
      <w:tr w:rsidR="009B1A8D" w:rsidRPr="00005712" w:rsidTr="00BF1ACF">
        <w:trPr>
          <w:trHeight w:val="93"/>
          <w:jc w:val="center"/>
        </w:trPr>
        <w:tc>
          <w:tcPr>
            <w:tcW w:w="1917" w:type="dxa"/>
          </w:tcPr>
          <w:p w:rsidR="009B1A8D" w:rsidRPr="00DB5299" w:rsidRDefault="009B1A8D" w:rsidP="00BF1ACF">
            <w:pPr>
              <w:pStyle w:val="Default"/>
              <w:spacing w:line="276" w:lineRule="auto"/>
              <w:rPr>
                <w:color w:val="auto"/>
                <w:sz w:val="20"/>
                <w:szCs w:val="20"/>
              </w:rPr>
            </w:pPr>
            <w:r w:rsidRPr="00DB5299">
              <w:rPr>
                <w:color w:val="auto"/>
                <w:sz w:val="20"/>
                <w:szCs w:val="20"/>
              </w:rPr>
              <w:t xml:space="preserve">1.001 - 3.000 Hab. </w:t>
            </w:r>
          </w:p>
        </w:tc>
        <w:tc>
          <w:tcPr>
            <w:tcW w:w="1332" w:type="dxa"/>
          </w:tcPr>
          <w:p w:rsidR="009B1A8D" w:rsidRPr="00DB5299" w:rsidRDefault="009B1A8D" w:rsidP="00BF1ACF">
            <w:pPr>
              <w:pStyle w:val="Default"/>
              <w:spacing w:line="276" w:lineRule="auto"/>
              <w:rPr>
                <w:color w:val="auto"/>
                <w:sz w:val="20"/>
                <w:szCs w:val="20"/>
              </w:rPr>
            </w:pPr>
            <w:r w:rsidRPr="00DB5299">
              <w:rPr>
                <w:color w:val="auto"/>
                <w:sz w:val="20"/>
                <w:szCs w:val="20"/>
              </w:rPr>
              <w:t xml:space="preserve">22.500 € </w:t>
            </w:r>
          </w:p>
        </w:tc>
        <w:tc>
          <w:tcPr>
            <w:tcW w:w="1332" w:type="dxa"/>
          </w:tcPr>
          <w:p w:rsidR="009B1A8D" w:rsidRPr="00DB5299" w:rsidRDefault="009B1A8D" w:rsidP="00BF1ACF">
            <w:pPr>
              <w:pStyle w:val="Default"/>
              <w:spacing w:line="276" w:lineRule="auto"/>
              <w:rPr>
                <w:color w:val="auto"/>
                <w:sz w:val="20"/>
                <w:szCs w:val="20"/>
              </w:rPr>
            </w:pPr>
            <w:r w:rsidRPr="00DB5299">
              <w:rPr>
                <w:color w:val="auto"/>
                <w:sz w:val="20"/>
                <w:szCs w:val="20"/>
              </w:rPr>
              <w:t xml:space="preserve">22.500 € </w:t>
            </w:r>
          </w:p>
        </w:tc>
        <w:tc>
          <w:tcPr>
            <w:tcW w:w="1333" w:type="dxa"/>
          </w:tcPr>
          <w:p w:rsidR="009B1A8D" w:rsidRPr="00DB5299" w:rsidRDefault="009B1A8D" w:rsidP="00BF1ACF">
            <w:pPr>
              <w:pStyle w:val="Default"/>
              <w:spacing w:line="276" w:lineRule="auto"/>
              <w:rPr>
                <w:color w:val="auto"/>
                <w:sz w:val="20"/>
                <w:szCs w:val="20"/>
              </w:rPr>
            </w:pPr>
            <w:r w:rsidRPr="00DB5299">
              <w:rPr>
                <w:color w:val="auto"/>
                <w:sz w:val="20"/>
                <w:szCs w:val="20"/>
              </w:rPr>
              <w:t xml:space="preserve">52.500 € </w:t>
            </w:r>
          </w:p>
        </w:tc>
        <w:tc>
          <w:tcPr>
            <w:tcW w:w="1332" w:type="dxa"/>
          </w:tcPr>
          <w:p w:rsidR="009B1A8D" w:rsidRPr="00DB5299" w:rsidRDefault="009B1A8D" w:rsidP="00BF1ACF">
            <w:pPr>
              <w:pStyle w:val="Default"/>
              <w:spacing w:line="276" w:lineRule="auto"/>
              <w:rPr>
                <w:color w:val="auto"/>
                <w:sz w:val="20"/>
                <w:szCs w:val="20"/>
              </w:rPr>
            </w:pPr>
            <w:r w:rsidRPr="00DB5299">
              <w:rPr>
                <w:color w:val="auto"/>
                <w:sz w:val="20"/>
                <w:szCs w:val="20"/>
              </w:rPr>
              <w:t xml:space="preserve">37.500 € </w:t>
            </w:r>
          </w:p>
        </w:tc>
        <w:tc>
          <w:tcPr>
            <w:tcW w:w="1333" w:type="dxa"/>
          </w:tcPr>
          <w:p w:rsidR="009B1A8D" w:rsidRPr="00DB5299" w:rsidRDefault="009B1A8D" w:rsidP="00BF1ACF">
            <w:pPr>
              <w:pStyle w:val="Default"/>
              <w:spacing w:line="276" w:lineRule="auto"/>
              <w:rPr>
                <w:color w:val="auto"/>
                <w:sz w:val="20"/>
                <w:szCs w:val="20"/>
              </w:rPr>
            </w:pPr>
            <w:r w:rsidRPr="00DB5299">
              <w:rPr>
                <w:color w:val="auto"/>
                <w:sz w:val="20"/>
                <w:szCs w:val="20"/>
              </w:rPr>
              <w:t xml:space="preserve">15.000 € </w:t>
            </w:r>
          </w:p>
        </w:tc>
        <w:tc>
          <w:tcPr>
            <w:tcW w:w="1135" w:type="dxa"/>
          </w:tcPr>
          <w:p w:rsidR="009B1A8D" w:rsidRPr="00DB5299" w:rsidRDefault="009B1A8D" w:rsidP="00BF1ACF">
            <w:pPr>
              <w:pStyle w:val="Default"/>
              <w:spacing w:line="276" w:lineRule="auto"/>
              <w:rPr>
                <w:color w:val="auto"/>
                <w:sz w:val="20"/>
                <w:szCs w:val="20"/>
              </w:rPr>
            </w:pPr>
            <w:r w:rsidRPr="00DB5299">
              <w:rPr>
                <w:b/>
                <w:bCs/>
                <w:color w:val="auto"/>
                <w:sz w:val="20"/>
                <w:szCs w:val="20"/>
              </w:rPr>
              <w:t xml:space="preserve">150.000 € </w:t>
            </w:r>
          </w:p>
        </w:tc>
      </w:tr>
      <w:tr w:rsidR="009B1A8D" w:rsidRPr="00005712" w:rsidTr="00BF1ACF">
        <w:trPr>
          <w:trHeight w:val="93"/>
          <w:jc w:val="center"/>
        </w:trPr>
        <w:tc>
          <w:tcPr>
            <w:tcW w:w="1917" w:type="dxa"/>
          </w:tcPr>
          <w:p w:rsidR="009B1A8D" w:rsidRPr="00DB5299" w:rsidRDefault="009B1A8D" w:rsidP="00BF1ACF">
            <w:pPr>
              <w:pStyle w:val="Default"/>
              <w:spacing w:line="276" w:lineRule="auto"/>
              <w:rPr>
                <w:color w:val="auto"/>
                <w:sz w:val="20"/>
                <w:szCs w:val="20"/>
              </w:rPr>
            </w:pPr>
            <w:r w:rsidRPr="00DB5299">
              <w:rPr>
                <w:color w:val="auto"/>
                <w:sz w:val="20"/>
                <w:szCs w:val="20"/>
              </w:rPr>
              <w:t xml:space="preserve">3.001 - 5.000 Hab. </w:t>
            </w:r>
          </w:p>
        </w:tc>
        <w:tc>
          <w:tcPr>
            <w:tcW w:w="1332" w:type="dxa"/>
          </w:tcPr>
          <w:p w:rsidR="009B1A8D" w:rsidRPr="00DB5299" w:rsidRDefault="009B1A8D" w:rsidP="00BF1ACF">
            <w:pPr>
              <w:pStyle w:val="Default"/>
              <w:spacing w:line="276" w:lineRule="auto"/>
              <w:rPr>
                <w:color w:val="auto"/>
                <w:sz w:val="20"/>
                <w:szCs w:val="20"/>
              </w:rPr>
            </w:pPr>
            <w:r w:rsidRPr="00DB5299">
              <w:rPr>
                <w:color w:val="auto"/>
                <w:sz w:val="20"/>
                <w:szCs w:val="20"/>
              </w:rPr>
              <w:t xml:space="preserve">27.000 € </w:t>
            </w:r>
          </w:p>
        </w:tc>
        <w:tc>
          <w:tcPr>
            <w:tcW w:w="1332" w:type="dxa"/>
          </w:tcPr>
          <w:p w:rsidR="009B1A8D" w:rsidRPr="00DB5299" w:rsidRDefault="009B1A8D" w:rsidP="00BF1ACF">
            <w:pPr>
              <w:pStyle w:val="Default"/>
              <w:spacing w:line="276" w:lineRule="auto"/>
              <w:rPr>
                <w:color w:val="auto"/>
                <w:sz w:val="20"/>
                <w:szCs w:val="20"/>
              </w:rPr>
            </w:pPr>
            <w:r w:rsidRPr="00DB5299">
              <w:rPr>
                <w:color w:val="auto"/>
                <w:sz w:val="20"/>
                <w:szCs w:val="20"/>
              </w:rPr>
              <w:t xml:space="preserve">27.000 € </w:t>
            </w:r>
          </w:p>
        </w:tc>
        <w:tc>
          <w:tcPr>
            <w:tcW w:w="1333" w:type="dxa"/>
          </w:tcPr>
          <w:p w:rsidR="009B1A8D" w:rsidRPr="00DB5299" w:rsidRDefault="009B1A8D" w:rsidP="00BF1ACF">
            <w:pPr>
              <w:pStyle w:val="Default"/>
              <w:spacing w:line="276" w:lineRule="auto"/>
              <w:rPr>
                <w:color w:val="auto"/>
                <w:sz w:val="20"/>
                <w:szCs w:val="20"/>
              </w:rPr>
            </w:pPr>
            <w:r w:rsidRPr="00DB5299">
              <w:rPr>
                <w:color w:val="auto"/>
                <w:sz w:val="20"/>
                <w:szCs w:val="20"/>
              </w:rPr>
              <w:t xml:space="preserve">63.000 € </w:t>
            </w:r>
          </w:p>
        </w:tc>
        <w:tc>
          <w:tcPr>
            <w:tcW w:w="1332" w:type="dxa"/>
          </w:tcPr>
          <w:p w:rsidR="009B1A8D" w:rsidRPr="00DB5299" w:rsidRDefault="009B1A8D" w:rsidP="00BF1ACF">
            <w:pPr>
              <w:pStyle w:val="Default"/>
              <w:spacing w:line="276" w:lineRule="auto"/>
              <w:rPr>
                <w:color w:val="auto"/>
                <w:sz w:val="20"/>
                <w:szCs w:val="20"/>
              </w:rPr>
            </w:pPr>
            <w:r w:rsidRPr="00DB5299">
              <w:rPr>
                <w:color w:val="auto"/>
                <w:sz w:val="20"/>
                <w:szCs w:val="20"/>
              </w:rPr>
              <w:t xml:space="preserve">45.000 € </w:t>
            </w:r>
          </w:p>
        </w:tc>
        <w:tc>
          <w:tcPr>
            <w:tcW w:w="1333" w:type="dxa"/>
          </w:tcPr>
          <w:p w:rsidR="009B1A8D" w:rsidRPr="00DB5299" w:rsidRDefault="009B1A8D" w:rsidP="00BF1ACF">
            <w:pPr>
              <w:pStyle w:val="Default"/>
              <w:spacing w:line="276" w:lineRule="auto"/>
              <w:rPr>
                <w:color w:val="auto"/>
                <w:sz w:val="20"/>
                <w:szCs w:val="20"/>
              </w:rPr>
            </w:pPr>
            <w:r w:rsidRPr="00DB5299">
              <w:rPr>
                <w:color w:val="auto"/>
                <w:sz w:val="20"/>
                <w:szCs w:val="20"/>
              </w:rPr>
              <w:t xml:space="preserve">18.000 € </w:t>
            </w:r>
          </w:p>
        </w:tc>
        <w:tc>
          <w:tcPr>
            <w:tcW w:w="1135" w:type="dxa"/>
          </w:tcPr>
          <w:p w:rsidR="009B1A8D" w:rsidRPr="00DB5299" w:rsidRDefault="009B1A8D" w:rsidP="00BF1ACF">
            <w:pPr>
              <w:pStyle w:val="Default"/>
              <w:spacing w:line="276" w:lineRule="auto"/>
              <w:rPr>
                <w:color w:val="auto"/>
                <w:sz w:val="20"/>
                <w:szCs w:val="20"/>
              </w:rPr>
            </w:pPr>
            <w:r w:rsidRPr="00DB5299">
              <w:rPr>
                <w:b/>
                <w:bCs/>
                <w:color w:val="auto"/>
                <w:sz w:val="20"/>
                <w:szCs w:val="20"/>
              </w:rPr>
              <w:t xml:space="preserve">180.000 € </w:t>
            </w:r>
          </w:p>
        </w:tc>
      </w:tr>
      <w:tr w:rsidR="009B1A8D" w:rsidRPr="00005712" w:rsidTr="00BF1ACF">
        <w:trPr>
          <w:trHeight w:val="93"/>
          <w:jc w:val="center"/>
        </w:trPr>
        <w:tc>
          <w:tcPr>
            <w:tcW w:w="1917" w:type="dxa"/>
          </w:tcPr>
          <w:p w:rsidR="009B1A8D" w:rsidRPr="00DB5299" w:rsidRDefault="009B1A8D" w:rsidP="00BF1ACF">
            <w:pPr>
              <w:pStyle w:val="Default"/>
              <w:spacing w:line="276" w:lineRule="auto"/>
              <w:rPr>
                <w:color w:val="auto"/>
                <w:sz w:val="20"/>
                <w:szCs w:val="20"/>
              </w:rPr>
            </w:pPr>
            <w:r w:rsidRPr="00DB5299">
              <w:rPr>
                <w:color w:val="auto"/>
                <w:sz w:val="20"/>
                <w:szCs w:val="20"/>
              </w:rPr>
              <w:t xml:space="preserve">5.001 - 10.000 Hab. </w:t>
            </w:r>
          </w:p>
        </w:tc>
        <w:tc>
          <w:tcPr>
            <w:tcW w:w="1332" w:type="dxa"/>
          </w:tcPr>
          <w:p w:rsidR="009B1A8D" w:rsidRPr="00DB5299" w:rsidRDefault="009B1A8D" w:rsidP="00BF1ACF">
            <w:pPr>
              <w:pStyle w:val="Default"/>
              <w:spacing w:line="276" w:lineRule="auto"/>
              <w:rPr>
                <w:color w:val="auto"/>
                <w:sz w:val="20"/>
                <w:szCs w:val="20"/>
              </w:rPr>
            </w:pPr>
            <w:r w:rsidRPr="00DB5299">
              <w:rPr>
                <w:color w:val="auto"/>
                <w:sz w:val="20"/>
                <w:szCs w:val="20"/>
              </w:rPr>
              <w:t xml:space="preserve">31.500 € </w:t>
            </w:r>
          </w:p>
        </w:tc>
        <w:tc>
          <w:tcPr>
            <w:tcW w:w="1332" w:type="dxa"/>
          </w:tcPr>
          <w:p w:rsidR="009B1A8D" w:rsidRPr="00DB5299" w:rsidRDefault="009B1A8D" w:rsidP="00BF1ACF">
            <w:pPr>
              <w:pStyle w:val="Default"/>
              <w:spacing w:line="276" w:lineRule="auto"/>
              <w:rPr>
                <w:color w:val="auto"/>
                <w:sz w:val="20"/>
                <w:szCs w:val="20"/>
              </w:rPr>
            </w:pPr>
            <w:r w:rsidRPr="00DB5299">
              <w:rPr>
                <w:color w:val="auto"/>
                <w:sz w:val="20"/>
                <w:szCs w:val="20"/>
              </w:rPr>
              <w:t xml:space="preserve">31.500 € </w:t>
            </w:r>
          </w:p>
        </w:tc>
        <w:tc>
          <w:tcPr>
            <w:tcW w:w="1333" w:type="dxa"/>
          </w:tcPr>
          <w:p w:rsidR="009B1A8D" w:rsidRPr="00DB5299" w:rsidRDefault="009B1A8D" w:rsidP="00BF1ACF">
            <w:pPr>
              <w:pStyle w:val="Default"/>
              <w:spacing w:line="276" w:lineRule="auto"/>
              <w:rPr>
                <w:color w:val="auto"/>
                <w:sz w:val="20"/>
                <w:szCs w:val="20"/>
              </w:rPr>
            </w:pPr>
            <w:r w:rsidRPr="00DB5299">
              <w:rPr>
                <w:color w:val="auto"/>
                <w:sz w:val="20"/>
                <w:szCs w:val="20"/>
              </w:rPr>
              <w:t xml:space="preserve">73.500 € </w:t>
            </w:r>
          </w:p>
        </w:tc>
        <w:tc>
          <w:tcPr>
            <w:tcW w:w="1332" w:type="dxa"/>
          </w:tcPr>
          <w:p w:rsidR="009B1A8D" w:rsidRPr="00DB5299" w:rsidRDefault="009B1A8D" w:rsidP="00BF1ACF">
            <w:pPr>
              <w:pStyle w:val="Default"/>
              <w:spacing w:line="276" w:lineRule="auto"/>
              <w:rPr>
                <w:color w:val="auto"/>
                <w:sz w:val="20"/>
                <w:szCs w:val="20"/>
              </w:rPr>
            </w:pPr>
            <w:r w:rsidRPr="00DB5299">
              <w:rPr>
                <w:color w:val="auto"/>
                <w:sz w:val="20"/>
                <w:szCs w:val="20"/>
              </w:rPr>
              <w:t xml:space="preserve">52.500 € </w:t>
            </w:r>
          </w:p>
        </w:tc>
        <w:tc>
          <w:tcPr>
            <w:tcW w:w="1333" w:type="dxa"/>
          </w:tcPr>
          <w:p w:rsidR="009B1A8D" w:rsidRPr="00DB5299" w:rsidRDefault="009B1A8D" w:rsidP="00BF1ACF">
            <w:pPr>
              <w:pStyle w:val="Default"/>
              <w:spacing w:line="276" w:lineRule="auto"/>
              <w:rPr>
                <w:color w:val="auto"/>
                <w:sz w:val="20"/>
                <w:szCs w:val="20"/>
              </w:rPr>
            </w:pPr>
            <w:r w:rsidRPr="00DB5299">
              <w:rPr>
                <w:color w:val="auto"/>
                <w:sz w:val="20"/>
                <w:szCs w:val="20"/>
              </w:rPr>
              <w:t xml:space="preserve">21.000 € </w:t>
            </w:r>
          </w:p>
        </w:tc>
        <w:tc>
          <w:tcPr>
            <w:tcW w:w="1135" w:type="dxa"/>
          </w:tcPr>
          <w:p w:rsidR="009B1A8D" w:rsidRPr="00DB5299" w:rsidRDefault="009B1A8D" w:rsidP="00BF1ACF">
            <w:pPr>
              <w:pStyle w:val="Default"/>
              <w:spacing w:line="276" w:lineRule="auto"/>
              <w:rPr>
                <w:color w:val="auto"/>
                <w:sz w:val="20"/>
                <w:szCs w:val="20"/>
              </w:rPr>
            </w:pPr>
            <w:r w:rsidRPr="00DB5299">
              <w:rPr>
                <w:b/>
                <w:bCs/>
                <w:color w:val="auto"/>
                <w:sz w:val="20"/>
                <w:szCs w:val="20"/>
              </w:rPr>
              <w:t xml:space="preserve">210.000 € </w:t>
            </w:r>
          </w:p>
        </w:tc>
      </w:tr>
      <w:tr w:rsidR="009B1A8D" w:rsidRPr="00005712" w:rsidTr="00BF1ACF">
        <w:trPr>
          <w:trHeight w:val="93"/>
          <w:jc w:val="center"/>
        </w:trPr>
        <w:tc>
          <w:tcPr>
            <w:tcW w:w="1917" w:type="dxa"/>
          </w:tcPr>
          <w:p w:rsidR="009B1A8D" w:rsidRPr="00DB5299" w:rsidRDefault="009B1A8D" w:rsidP="00BF1ACF">
            <w:pPr>
              <w:pStyle w:val="Default"/>
              <w:spacing w:line="276" w:lineRule="auto"/>
              <w:rPr>
                <w:color w:val="auto"/>
                <w:sz w:val="20"/>
                <w:szCs w:val="20"/>
              </w:rPr>
            </w:pPr>
            <w:r w:rsidRPr="00DB5299">
              <w:rPr>
                <w:color w:val="auto"/>
                <w:sz w:val="20"/>
                <w:szCs w:val="20"/>
              </w:rPr>
              <w:t>+ 10.001 Hab .</w:t>
            </w:r>
          </w:p>
        </w:tc>
        <w:tc>
          <w:tcPr>
            <w:tcW w:w="1332" w:type="dxa"/>
          </w:tcPr>
          <w:p w:rsidR="009B1A8D" w:rsidRPr="00DB5299" w:rsidRDefault="009B1A8D" w:rsidP="00BF1ACF">
            <w:pPr>
              <w:pStyle w:val="Default"/>
              <w:spacing w:line="276" w:lineRule="auto"/>
              <w:rPr>
                <w:color w:val="auto"/>
                <w:sz w:val="20"/>
                <w:szCs w:val="20"/>
              </w:rPr>
            </w:pPr>
            <w:r w:rsidRPr="00DB5299">
              <w:rPr>
                <w:color w:val="auto"/>
                <w:sz w:val="20"/>
                <w:szCs w:val="20"/>
              </w:rPr>
              <w:t xml:space="preserve">40.500 € </w:t>
            </w:r>
          </w:p>
        </w:tc>
        <w:tc>
          <w:tcPr>
            <w:tcW w:w="1332" w:type="dxa"/>
          </w:tcPr>
          <w:p w:rsidR="009B1A8D" w:rsidRPr="00DB5299" w:rsidRDefault="009B1A8D" w:rsidP="00BF1ACF">
            <w:pPr>
              <w:pStyle w:val="Default"/>
              <w:spacing w:line="276" w:lineRule="auto"/>
              <w:rPr>
                <w:color w:val="auto"/>
                <w:sz w:val="20"/>
                <w:szCs w:val="20"/>
              </w:rPr>
            </w:pPr>
            <w:r w:rsidRPr="00DB5299">
              <w:rPr>
                <w:color w:val="auto"/>
                <w:sz w:val="20"/>
                <w:szCs w:val="20"/>
              </w:rPr>
              <w:t xml:space="preserve">40.500 € </w:t>
            </w:r>
          </w:p>
        </w:tc>
        <w:tc>
          <w:tcPr>
            <w:tcW w:w="1333" w:type="dxa"/>
          </w:tcPr>
          <w:p w:rsidR="009B1A8D" w:rsidRPr="00DB5299" w:rsidRDefault="009B1A8D" w:rsidP="00BF1ACF">
            <w:pPr>
              <w:pStyle w:val="Default"/>
              <w:spacing w:line="276" w:lineRule="auto"/>
              <w:rPr>
                <w:color w:val="auto"/>
                <w:sz w:val="20"/>
                <w:szCs w:val="20"/>
              </w:rPr>
            </w:pPr>
            <w:r w:rsidRPr="00DB5299">
              <w:rPr>
                <w:color w:val="auto"/>
                <w:sz w:val="20"/>
                <w:szCs w:val="20"/>
              </w:rPr>
              <w:t xml:space="preserve">94.500 € </w:t>
            </w:r>
          </w:p>
        </w:tc>
        <w:tc>
          <w:tcPr>
            <w:tcW w:w="1332" w:type="dxa"/>
          </w:tcPr>
          <w:p w:rsidR="009B1A8D" w:rsidRPr="00DB5299" w:rsidRDefault="009B1A8D" w:rsidP="00BF1ACF">
            <w:pPr>
              <w:pStyle w:val="Default"/>
              <w:spacing w:line="276" w:lineRule="auto"/>
              <w:rPr>
                <w:color w:val="auto"/>
                <w:sz w:val="20"/>
                <w:szCs w:val="20"/>
              </w:rPr>
            </w:pPr>
            <w:r w:rsidRPr="00DB5299">
              <w:rPr>
                <w:color w:val="auto"/>
                <w:sz w:val="20"/>
                <w:szCs w:val="20"/>
              </w:rPr>
              <w:t xml:space="preserve">67.500 € </w:t>
            </w:r>
          </w:p>
        </w:tc>
        <w:tc>
          <w:tcPr>
            <w:tcW w:w="1333" w:type="dxa"/>
          </w:tcPr>
          <w:p w:rsidR="009B1A8D" w:rsidRPr="00DB5299" w:rsidRDefault="009B1A8D" w:rsidP="00BF1ACF">
            <w:pPr>
              <w:pStyle w:val="Default"/>
              <w:spacing w:line="276" w:lineRule="auto"/>
              <w:rPr>
                <w:color w:val="auto"/>
                <w:sz w:val="20"/>
                <w:szCs w:val="20"/>
              </w:rPr>
            </w:pPr>
            <w:r w:rsidRPr="00DB5299">
              <w:rPr>
                <w:color w:val="auto"/>
                <w:sz w:val="20"/>
                <w:szCs w:val="20"/>
              </w:rPr>
              <w:t xml:space="preserve">27.000 € </w:t>
            </w:r>
          </w:p>
        </w:tc>
        <w:tc>
          <w:tcPr>
            <w:tcW w:w="1135" w:type="dxa"/>
          </w:tcPr>
          <w:p w:rsidR="009B1A8D" w:rsidRPr="00DB5299" w:rsidRDefault="009B1A8D" w:rsidP="00BF1ACF">
            <w:pPr>
              <w:pStyle w:val="Default"/>
              <w:spacing w:line="276" w:lineRule="auto"/>
              <w:rPr>
                <w:color w:val="auto"/>
                <w:sz w:val="20"/>
                <w:szCs w:val="20"/>
              </w:rPr>
            </w:pPr>
            <w:r w:rsidRPr="00DB5299">
              <w:rPr>
                <w:b/>
                <w:bCs/>
                <w:color w:val="auto"/>
                <w:sz w:val="20"/>
                <w:szCs w:val="20"/>
              </w:rPr>
              <w:t xml:space="preserve">270.000 € </w:t>
            </w:r>
          </w:p>
        </w:tc>
      </w:tr>
    </w:tbl>
    <w:p w:rsidR="009B1A8D" w:rsidRPr="00E82730" w:rsidRDefault="009B1A8D" w:rsidP="009B1A8D"/>
    <w:p w:rsidR="009B1A8D" w:rsidRPr="00005712" w:rsidRDefault="009B1A8D" w:rsidP="009B1A8D">
      <w:pPr>
        <w:pStyle w:val="Default"/>
        <w:spacing w:line="276" w:lineRule="auto"/>
        <w:ind w:left="567" w:hanging="567"/>
        <w:jc w:val="both"/>
        <w:rPr>
          <w:color w:val="auto"/>
          <w:sz w:val="22"/>
          <w:szCs w:val="22"/>
        </w:rPr>
      </w:pPr>
      <w:r w:rsidRPr="00005712">
        <w:rPr>
          <w:color w:val="auto"/>
          <w:sz w:val="22"/>
          <w:szCs w:val="22"/>
        </w:rPr>
        <w:t>4.2</w:t>
      </w:r>
      <w:r w:rsidRPr="00005712">
        <w:rPr>
          <w:color w:val="auto"/>
          <w:sz w:val="22"/>
          <w:szCs w:val="22"/>
        </w:rPr>
        <w:tab/>
        <w:t>En aquellos casos en los que se haya requerido, conforme a la legislación vigente en materia de ordenación del territorio y urbanismo, la elaboración de un Texto Refundido tras la aprobación definitiva del Plan General Municipal, no podrá solicitarse el abono de las cantidades previstas para esta última fase, en tanto no se entregue el Texto Refundido y se compruebe su adecuación por el órgano competente.</w:t>
      </w:r>
    </w:p>
    <w:p w:rsidR="009B1A8D" w:rsidRPr="00005712" w:rsidRDefault="009B1A8D" w:rsidP="009B1A8D">
      <w:pPr>
        <w:pStyle w:val="Default"/>
        <w:spacing w:line="276" w:lineRule="auto"/>
        <w:ind w:left="709"/>
        <w:jc w:val="both"/>
        <w:rPr>
          <w:color w:val="auto"/>
          <w:sz w:val="22"/>
          <w:szCs w:val="22"/>
        </w:rPr>
      </w:pPr>
    </w:p>
    <w:p w:rsidR="009B1A8D" w:rsidRPr="00005712" w:rsidRDefault="009B1A8D" w:rsidP="009B1A8D">
      <w:pPr>
        <w:pStyle w:val="Default"/>
        <w:numPr>
          <w:ilvl w:val="1"/>
          <w:numId w:val="15"/>
        </w:numPr>
        <w:tabs>
          <w:tab w:val="left" w:pos="284"/>
        </w:tabs>
        <w:spacing w:line="276" w:lineRule="auto"/>
        <w:ind w:left="567" w:hanging="567"/>
        <w:jc w:val="both"/>
        <w:rPr>
          <w:color w:val="auto"/>
          <w:sz w:val="22"/>
          <w:szCs w:val="22"/>
        </w:rPr>
      </w:pPr>
      <w:r w:rsidRPr="00005712">
        <w:rPr>
          <w:color w:val="auto"/>
          <w:sz w:val="22"/>
          <w:szCs w:val="22"/>
        </w:rPr>
        <w:t>Las cantidades establecidas en la tabla</w:t>
      </w:r>
      <w:r>
        <w:rPr>
          <w:color w:val="auto"/>
          <w:sz w:val="22"/>
          <w:szCs w:val="22"/>
        </w:rPr>
        <w:t xml:space="preserve"> del apartado 4.1</w:t>
      </w:r>
      <w:r w:rsidRPr="00005712">
        <w:rPr>
          <w:color w:val="auto"/>
          <w:sz w:val="22"/>
          <w:szCs w:val="22"/>
        </w:rPr>
        <w:t xml:space="preserve"> podrán incrementarse un 10% por cada uno de los siguientes conceptos:</w:t>
      </w:r>
    </w:p>
    <w:p w:rsidR="009B1A8D" w:rsidRPr="00005712" w:rsidRDefault="009B1A8D" w:rsidP="009B1A8D">
      <w:pPr>
        <w:pStyle w:val="Default"/>
        <w:spacing w:line="276" w:lineRule="auto"/>
        <w:ind w:left="426" w:hanging="426"/>
        <w:jc w:val="both"/>
        <w:rPr>
          <w:color w:val="auto"/>
          <w:sz w:val="22"/>
          <w:szCs w:val="22"/>
        </w:rPr>
      </w:pPr>
    </w:p>
    <w:p w:rsidR="009B1A8D" w:rsidRPr="00005712" w:rsidRDefault="009B1A8D" w:rsidP="009B1A8D">
      <w:pPr>
        <w:pStyle w:val="Default"/>
        <w:numPr>
          <w:ilvl w:val="0"/>
          <w:numId w:val="10"/>
        </w:numPr>
        <w:spacing w:line="276" w:lineRule="auto"/>
        <w:jc w:val="both"/>
        <w:rPr>
          <w:color w:val="auto"/>
          <w:sz w:val="22"/>
          <w:szCs w:val="22"/>
        </w:rPr>
      </w:pPr>
      <w:r w:rsidRPr="00005712">
        <w:rPr>
          <w:color w:val="auto"/>
          <w:sz w:val="22"/>
          <w:szCs w:val="22"/>
        </w:rPr>
        <w:t xml:space="preserve">Municipios compuestos o que cuenten con 3 o más núcleos urbanos habitados diferenciados. </w:t>
      </w:r>
    </w:p>
    <w:p w:rsidR="009B1A8D" w:rsidRPr="00005712" w:rsidRDefault="009B1A8D" w:rsidP="009B1A8D">
      <w:pPr>
        <w:pStyle w:val="Default"/>
        <w:numPr>
          <w:ilvl w:val="0"/>
          <w:numId w:val="10"/>
        </w:numPr>
        <w:spacing w:line="276" w:lineRule="auto"/>
        <w:jc w:val="both"/>
        <w:rPr>
          <w:color w:val="auto"/>
          <w:sz w:val="22"/>
          <w:szCs w:val="22"/>
        </w:rPr>
      </w:pPr>
      <w:r w:rsidRPr="00005712">
        <w:rPr>
          <w:color w:val="auto"/>
          <w:sz w:val="22"/>
          <w:szCs w:val="22"/>
        </w:rPr>
        <w:t xml:space="preserve">Superficie mayor de 70 km². </w:t>
      </w:r>
    </w:p>
    <w:p w:rsidR="009B1A8D" w:rsidRPr="00005712" w:rsidRDefault="009B1A8D" w:rsidP="009B1A8D">
      <w:pPr>
        <w:pStyle w:val="Default"/>
        <w:spacing w:line="276" w:lineRule="auto"/>
        <w:jc w:val="both"/>
        <w:rPr>
          <w:color w:val="auto"/>
          <w:sz w:val="22"/>
          <w:szCs w:val="22"/>
        </w:rPr>
      </w:pPr>
    </w:p>
    <w:p w:rsidR="009B1A8D" w:rsidRDefault="009B1A8D" w:rsidP="009B1A8D">
      <w:pPr>
        <w:pStyle w:val="Default"/>
        <w:numPr>
          <w:ilvl w:val="1"/>
          <w:numId w:val="15"/>
        </w:numPr>
        <w:spacing w:line="276" w:lineRule="auto"/>
        <w:ind w:left="709" w:hanging="709"/>
        <w:jc w:val="both"/>
        <w:rPr>
          <w:color w:val="auto"/>
          <w:sz w:val="22"/>
          <w:szCs w:val="22"/>
        </w:rPr>
      </w:pPr>
      <w:r w:rsidRPr="00005712">
        <w:rPr>
          <w:color w:val="auto"/>
          <w:sz w:val="22"/>
          <w:szCs w:val="22"/>
        </w:rPr>
        <w:t xml:space="preserve">Las cuantías máximas de las subvenciones para cada una de las fases de elaboración de los Planes Especiales, establecidas en función de la superficie del ámbito de estudio, no podrán superar los límites fijados en </w:t>
      </w:r>
      <w:r>
        <w:rPr>
          <w:color w:val="auto"/>
          <w:sz w:val="22"/>
          <w:szCs w:val="22"/>
        </w:rPr>
        <w:t>la siguiente</w:t>
      </w:r>
      <w:r w:rsidRPr="00005712">
        <w:rPr>
          <w:color w:val="auto"/>
          <w:sz w:val="22"/>
          <w:szCs w:val="22"/>
        </w:rPr>
        <w:t xml:space="preserve"> tabla</w:t>
      </w:r>
      <w:r>
        <w:rPr>
          <w:color w:val="auto"/>
          <w:sz w:val="22"/>
          <w:szCs w:val="22"/>
        </w:rPr>
        <w:t>:</w:t>
      </w:r>
      <w:r w:rsidRPr="00005712">
        <w:rPr>
          <w:color w:val="auto"/>
          <w:sz w:val="22"/>
          <w:szCs w:val="22"/>
        </w:rPr>
        <w:t xml:space="preserve"> </w:t>
      </w:r>
    </w:p>
    <w:p w:rsidR="009B1A8D" w:rsidRDefault="009B1A8D" w:rsidP="009B1A8D">
      <w:pPr>
        <w:pStyle w:val="Default"/>
        <w:spacing w:line="276" w:lineRule="auto"/>
        <w:ind w:left="709"/>
        <w:jc w:val="both"/>
        <w:rPr>
          <w:color w:val="auto"/>
          <w:sz w:val="22"/>
          <w:szCs w:val="22"/>
        </w:rPr>
      </w:pP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7"/>
        <w:gridCol w:w="2693"/>
        <w:gridCol w:w="2694"/>
        <w:gridCol w:w="2410"/>
      </w:tblGrid>
      <w:tr w:rsidR="009B1A8D" w:rsidRPr="00DB5299" w:rsidTr="00BF1ACF">
        <w:trPr>
          <w:trHeight w:val="115"/>
          <w:jc w:val="center"/>
        </w:trPr>
        <w:tc>
          <w:tcPr>
            <w:tcW w:w="9714" w:type="dxa"/>
            <w:gridSpan w:val="4"/>
          </w:tcPr>
          <w:p w:rsidR="009B1A8D" w:rsidRPr="00CD46BC" w:rsidRDefault="009B1A8D" w:rsidP="00BF1ACF">
            <w:pPr>
              <w:pStyle w:val="Default"/>
              <w:spacing w:line="276" w:lineRule="auto"/>
              <w:rPr>
                <w:b/>
                <w:bCs/>
                <w:color w:val="auto"/>
                <w:sz w:val="20"/>
                <w:szCs w:val="20"/>
              </w:rPr>
            </w:pPr>
            <w:r w:rsidRPr="00CD46BC">
              <w:rPr>
                <w:b/>
                <w:color w:val="auto"/>
                <w:sz w:val="20"/>
                <w:szCs w:val="20"/>
              </w:rPr>
              <w:t>Cuantías máximas de subvención para la elaboración de los Planes Especiales.</w:t>
            </w:r>
          </w:p>
        </w:tc>
      </w:tr>
      <w:tr w:rsidR="009B1A8D" w:rsidRPr="00DB5299" w:rsidTr="00BF1ACF">
        <w:trPr>
          <w:trHeight w:val="115"/>
          <w:jc w:val="center"/>
        </w:trPr>
        <w:tc>
          <w:tcPr>
            <w:tcW w:w="1917" w:type="dxa"/>
            <w:vMerge w:val="restart"/>
          </w:tcPr>
          <w:p w:rsidR="009B1A8D" w:rsidRPr="00DB5299" w:rsidRDefault="009B1A8D" w:rsidP="00BF1ACF">
            <w:pPr>
              <w:pStyle w:val="Default"/>
              <w:spacing w:line="276" w:lineRule="auto"/>
              <w:rPr>
                <w:color w:val="auto"/>
                <w:sz w:val="20"/>
                <w:szCs w:val="20"/>
              </w:rPr>
            </w:pPr>
            <w:r w:rsidRPr="00DB5299">
              <w:rPr>
                <w:b/>
                <w:bCs/>
                <w:color w:val="auto"/>
                <w:sz w:val="20"/>
                <w:szCs w:val="20"/>
              </w:rPr>
              <w:lastRenderedPageBreak/>
              <w:t>Ámbito del PE</w:t>
            </w:r>
          </w:p>
        </w:tc>
        <w:tc>
          <w:tcPr>
            <w:tcW w:w="5387" w:type="dxa"/>
            <w:gridSpan w:val="2"/>
          </w:tcPr>
          <w:p w:rsidR="009B1A8D" w:rsidRPr="00DB5299" w:rsidRDefault="009B1A8D" w:rsidP="00BF1ACF">
            <w:pPr>
              <w:pStyle w:val="Default"/>
              <w:spacing w:line="276" w:lineRule="auto"/>
              <w:jc w:val="center"/>
              <w:rPr>
                <w:color w:val="auto"/>
                <w:sz w:val="20"/>
                <w:szCs w:val="20"/>
              </w:rPr>
            </w:pPr>
            <w:r w:rsidRPr="00DB5299">
              <w:rPr>
                <w:b/>
                <w:bCs/>
                <w:color w:val="auto"/>
                <w:sz w:val="20"/>
                <w:szCs w:val="20"/>
              </w:rPr>
              <w:t>Cuantías máximas por fases (IVA incluido)</w:t>
            </w:r>
          </w:p>
        </w:tc>
        <w:tc>
          <w:tcPr>
            <w:tcW w:w="2410" w:type="dxa"/>
            <w:vMerge w:val="restart"/>
          </w:tcPr>
          <w:p w:rsidR="009B1A8D" w:rsidRPr="00DB5299" w:rsidRDefault="009B1A8D" w:rsidP="00BF1ACF">
            <w:pPr>
              <w:pStyle w:val="Default"/>
              <w:spacing w:line="276" w:lineRule="auto"/>
              <w:jc w:val="center"/>
              <w:rPr>
                <w:color w:val="auto"/>
                <w:sz w:val="20"/>
                <w:szCs w:val="20"/>
              </w:rPr>
            </w:pPr>
            <w:r w:rsidRPr="00DB5299">
              <w:rPr>
                <w:b/>
                <w:bCs/>
                <w:color w:val="auto"/>
                <w:sz w:val="20"/>
                <w:szCs w:val="20"/>
              </w:rPr>
              <w:t>Importe máximo (IVA incluido)</w:t>
            </w:r>
          </w:p>
        </w:tc>
      </w:tr>
      <w:tr w:rsidR="009B1A8D" w:rsidRPr="00DB5299" w:rsidTr="00BF1ACF">
        <w:trPr>
          <w:trHeight w:val="93"/>
          <w:jc w:val="center"/>
        </w:trPr>
        <w:tc>
          <w:tcPr>
            <w:tcW w:w="1917" w:type="dxa"/>
            <w:vMerge/>
          </w:tcPr>
          <w:p w:rsidR="009B1A8D" w:rsidRPr="00DB5299" w:rsidRDefault="009B1A8D" w:rsidP="00BF1ACF">
            <w:pPr>
              <w:pStyle w:val="Default"/>
              <w:spacing w:line="276" w:lineRule="auto"/>
              <w:rPr>
                <w:color w:val="auto"/>
                <w:sz w:val="20"/>
                <w:szCs w:val="20"/>
              </w:rPr>
            </w:pPr>
          </w:p>
        </w:tc>
        <w:tc>
          <w:tcPr>
            <w:tcW w:w="2693" w:type="dxa"/>
          </w:tcPr>
          <w:p w:rsidR="009B1A8D" w:rsidRPr="00DB5299" w:rsidRDefault="009B1A8D" w:rsidP="00BF1ACF">
            <w:pPr>
              <w:pStyle w:val="Default"/>
              <w:spacing w:line="276" w:lineRule="auto"/>
              <w:rPr>
                <w:color w:val="auto"/>
                <w:sz w:val="20"/>
                <w:szCs w:val="20"/>
              </w:rPr>
            </w:pPr>
            <w:r w:rsidRPr="00DB5299">
              <w:rPr>
                <w:b/>
                <w:bCs/>
                <w:color w:val="auto"/>
                <w:sz w:val="20"/>
                <w:szCs w:val="20"/>
              </w:rPr>
              <w:t xml:space="preserve">60% </w:t>
            </w:r>
          </w:p>
        </w:tc>
        <w:tc>
          <w:tcPr>
            <w:tcW w:w="2694" w:type="dxa"/>
          </w:tcPr>
          <w:p w:rsidR="009B1A8D" w:rsidRPr="00DB5299" w:rsidRDefault="009B1A8D" w:rsidP="00BF1ACF">
            <w:pPr>
              <w:pStyle w:val="Default"/>
              <w:spacing w:line="276" w:lineRule="auto"/>
              <w:rPr>
                <w:color w:val="auto"/>
                <w:sz w:val="20"/>
                <w:szCs w:val="20"/>
              </w:rPr>
            </w:pPr>
            <w:r w:rsidRPr="00DB5299">
              <w:rPr>
                <w:b/>
                <w:bCs/>
                <w:color w:val="auto"/>
                <w:sz w:val="20"/>
                <w:szCs w:val="20"/>
              </w:rPr>
              <w:t xml:space="preserve">40% </w:t>
            </w:r>
          </w:p>
        </w:tc>
        <w:tc>
          <w:tcPr>
            <w:tcW w:w="2410" w:type="dxa"/>
            <w:vMerge/>
          </w:tcPr>
          <w:p w:rsidR="009B1A8D" w:rsidRPr="00DB5299" w:rsidRDefault="009B1A8D" w:rsidP="00BF1ACF">
            <w:pPr>
              <w:pStyle w:val="Default"/>
              <w:spacing w:line="276" w:lineRule="auto"/>
              <w:rPr>
                <w:color w:val="auto"/>
                <w:sz w:val="20"/>
                <w:szCs w:val="20"/>
              </w:rPr>
            </w:pPr>
          </w:p>
        </w:tc>
      </w:tr>
      <w:tr w:rsidR="009B1A8D" w:rsidRPr="00DB5299" w:rsidTr="00BF1ACF">
        <w:trPr>
          <w:trHeight w:val="93"/>
          <w:jc w:val="center"/>
        </w:trPr>
        <w:tc>
          <w:tcPr>
            <w:tcW w:w="1917" w:type="dxa"/>
            <w:vMerge/>
          </w:tcPr>
          <w:p w:rsidR="009B1A8D" w:rsidRPr="00DB5299" w:rsidRDefault="009B1A8D" w:rsidP="00BF1ACF">
            <w:pPr>
              <w:pStyle w:val="Default"/>
              <w:spacing w:line="276" w:lineRule="auto"/>
              <w:rPr>
                <w:color w:val="auto"/>
                <w:sz w:val="20"/>
                <w:szCs w:val="20"/>
              </w:rPr>
            </w:pPr>
          </w:p>
        </w:tc>
        <w:tc>
          <w:tcPr>
            <w:tcW w:w="2693" w:type="dxa"/>
          </w:tcPr>
          <w:p w:rsidR="009B1A8D" w:rsidRPr="00DB5299" w:rsidRDefault="009B1A8D" w:rsidP="00BF1ACF">
            <w:pPr>
              <w:pStyle w:val="Default"/>
              <w:spacing w:line="276" w:lineRule="auto"/>
              <w:rPr>
                <w:color w:val="auto"/>
                <w:sz w:val="20"/>
                <w:szCs w:val="20"/>
              </w:rPr>
            </w:pPr>
            <w:r w:rsidRPr="00DB5299">
              <w:rPr>
                <w:b/>
                <w:bCs/>
                <w:color w:val="auto"/>
                <w:sz w:val="20"/>
                <w:szCs w:val="20"/>
              </w:rPr>
              <w:t xml:space="preserve">Aprobación Inicial </w:t>
            </w:r>
          </w:p>
        </w:tc>
        <w:tc>
          <w:tcPr>
            <w:tcW w:w="2694" w:type="dxa"/>
          </w:tcPr>
          <w:p w:rsidR="009B1A8D" w:rsidRPr="00DB5299" w:rsidRDefault="009B1A8D" w:rsidP="00BF1ACF">
            <w:pPr>
              <w:pStyle w:val="Default"/>
              <w:spacing w:line="276" w:lineRule="auto"/>
              <w:rPr>
                <w:color w:val="auto"/>
                <w:sz w:val="20"/>
                <w:szCs w:val="20"/>
              </w:rPr>
            </w:pPr>
            <w:r w:rsidRPr="00DB5299">
              <w:rPr>
                <w:b/>
                <w:bCs/>
                <w:color w:val="auto"/>
                <w:sz w:val="20"/>
                <w:szCs w:val="20"/>
              </w:rPr>
              <w:t xml:space="preserve">Aprobación Definitiva </w:t>
            </w:r>
          </w:p>
        </w:tc>
        <w:tc>
          <w:tcPr>
            <w:tcW w:w="2410" w:type="dxa"/>
            <w:vMerge/>
          </w:tcPr>
          <w:p w:rsidR="009B1A8D" w:rsidRPr="00DB5299" w:rsidRDefault="009B1A8D" w:rsidP="00BF1ACF">
            <w:pPr>
              <w:pStyle w:val="Default"/>
              <w:spacing w:line="276" w:lineRule="auto"/>
              <w:rPr>
                <w:color w:val="auto"/>
                <w:sz w:val="20"/>
                <w:szCs w:val="20"/>
              </w:rPr>
            </w:pPr>
          </w:p>
        </w:tc>
      </w:tr>
      <w:tr w:rsidR="009B1A8D" w:rsidRPr="00DB5299" w:rsidTr="00BF1ACF">
        <w:trPr>
          <w:trHeight w:val="93"/>
          <w:jc w:val="center"/>
        </w:trPr>
        <w:tc>
          <w:tcPr>
            <w:tcW w:w="1917" w:type="dxa"/>
          </w:tcPr>
          <w:p w:rsidR="009B1A8D" w:rsidRPr="00DB5299" w:rsidRDefault="009B1A8D" w:rsidP="00BF1ACF">
            <w:pPr>
              <w:pStyle w:val="Default"/>
              <w:spacing w:line="276" w:lineRule="auto"/>
              <w:rPr>
                <w:color w:val="auto"/>
                <w:sz w:val="20"/>
                <w:szCs w:val="20"/>
              </w:rPr>
            </w:pPr>
            <w:r w:rsidRPr="00DB5299">
              <w:rPr>
                <w:color w:val="auto"/>
                <w:sz w:val="20"/>
                <w:szCs w:val="20"/>
              </w:rPr>
              <w:t xml:space="preserve">5-10 ha </w:t>
            </w:r>
          </w:p>
        </w:tc>
        <w:tc>
          <w:tcPr>
            <w:tcW w:w="2693" w:type="dxa"/>
          </w:tcPr>
          <w:p w:rsidR="009B1A8D" w:rsidRPr="00DB5299" w:rsidRDefault="009B1A8D" w:rsidP="00BF1ACF">
            <w:pPr>
              <w:pStyle w:val="Default"/>
              <w:spacing w:line="276" w:lineRule="auto"/>
              <w:rPr>
                <w:color w:val="auto"/>
                <w:sz w:val="20"/>
                <w:szCs w:val="20"/>
              </w:rPr>
            </w:pPr>
            <w:r w:rsidRPr="00DB5299">
              <w:rPr>
                <w:color w:val="auto"/>
                <w:sz w:val="20"/>
                <w:szCs w:val="20"/>
              </w:rPr>
              <w:t xml:space="preserve">30.000 € </w:t>
            </w:r>
          </w:p>
        </w:tc>
        <w:tc>
          <w:tcPr>
            <w:tcW w:w="2694" w:type="dxa"/>
          </w:tcPr>
          <w:p w:rsidR="009B1A8D" w:rsidRPr="00DB5299" w:rsidRDefault="009B1A8D" w:rsidP="00BF1ACF">
            <w:pPr>
              <w:pStyle w:val="Default"/>
              <w:spacing w:line="276" w:lineRule="auto"/>
              <w:rPr>
                <w:color w:val="auto"/>
                <w:sz w:val="20"/>
                <w:szCs w:val="20"/>
              </w:rPr>
            </w:pPr>
            <w:r w:rsidRPr="00DB5299">
              <w:rPr>
                <w:color w:val="auto"/>
                <w:sz w:val="20"/>
                <w:szCs w:val="20"/>
              </w:rPr>
              <w:t xml:space="preserve">20.000 € </w:t>
            </w:r>
          </w:p>
        </w:tc>
        <w:tc>
          <w:tcPr>
            <w:tcW w:w="2410" w:type="dxa"/>
          </w:tcPr>
          <w:p w:rsidR="009B1A8D" w:rsidRPr="00DB5299" w:rsidRDefault="009B1A8D" w:rsidP="00BF1ACF">
            <w:pPr>
              <w:pStyle w:val="Default"/>
              <w:spacing w:line="276" w:lineRule="auto"/>
              <w:jc w:val="center"/>
              <w:rPr>
                <w:color w:val="auto"/>
                <w:sz w:val="20"/>
                <w:szCs w:val="20"/>
              </w:rPr>
            </w:pPr>
            <w:r w:rsidRPr="00DB5299">
              <w:rPr>
                <w:b/>
                <w:bCs/>
                <w:color w:val="auto"/>
                <w:sz w:val="20"/>
                <w:szCs w:val="20"/>
              </w:rPr>
              <w:t>50.000 €</w:t>
            </w:r>
          </w:p>
        </w:tc>
      </w:tr>
      <w:tr w:rsidR="009B1A8D" w:rsidRPr="00DB5299" w:rsidTr="00BF1ACF">
        <w:trPr>
          <w:trHeight w:val="93"/>
          <w:jc w:val="center"/>
        </w:trPr>
        <w:tc>
          <w:tcPr>
            <w:tcW w:w="1917" w:type="dxa"/>
          </w:tcPr>
          <w:p w:rsidR="009B1A8D" w:rsidRPr="00DB5299" w:rsidRDefault="009B1A8D" w:rsidP="00BF1ACF">
            <w:pPr>
              <w:pStyle w:val="Default"/>
              <w:spacing w:line="276" w:lineRule="auto"/>
              <w:rPr>
                <w:color w:val="auto"/>
                <w:sz w:val="20"/>
                <w:szCs w:val="20"/>
              </w:rPr>
            </w:pPr>
            <w:r w:rsidRPr="00DB5299">
              <w:rPr>
                <w:color w:val="auto"/>
                <w:sz w:val="20"/>
                <w:szCs w:val="20"/>
              </w:rPr>
              <w:t xml:space="preserve">10-20 ha </w:t>
            </w:r>
          </w:p>
        </w:tc>
        <w:tc>
          <w:tcPr>
            <w:tcW w:w="2693" w:type="dxa"/>
          </w:tcPr>
          <w:p w:rsidR="009B1A8D" w:rsidRPr="00DB5299" w:rsidRDefault="009B1A8D" w:rsidP="00BF1ACF">
            <w:pPr>
              <w:pStyle w:val="Default"/>
              <w:spacing w:line="276" w:lineRule="auto"/>
              <w:rPr>
                <w:color w:val="auto"/>
                <w:sz w:val="20"/>
                <w:szCs w:val="20"/>
              </w:rPr>
            </w:pPr>
            <w:r w:rsidRPr="00DB5299">
              <w:rPr>
                <w:color w:val="auto"/>
                <w:sz w:val="20"/>
                <w:szCs w:val="20"/>
              </w:rPr>
              <w:t xml:space="preserve">45.000 € </w:t>
            </w:r>
          </w:p>
        </w:tc>
        <w:tc>
          <w:tcPr>
            <w:tcW w:w="2694" w:type="dxa"/>
          </w:tcPr>
          <w:p w:rsidR="009B1A8D" w:rsidRPr="00DB5299" w:rsidRDefault="009B1A8D" w:rsidP="00BF1ACF">
            <w:pPr>
              <w:pStyle w:val="Default"/>
              <w:spacing w:line="276" w:lineRule="auto"/>
              <w:rPr>
                <w:color w:val="auto"/>
                <w:sz w:val="20"/>
                <w:szCs w:val="20"/>
              </w:rPr>
            </w:pPr>
            <w:r w:rsidRPr="00DB5299">
              <w:rPr>
                <w:color w:val="auto"/>
                <w:sz w:val="20"/>
                <w:szCs w:val="20"/>
              </w:rPr>
              <w:t xml:space="preserve">30.000 € </w:t>
            </w:r>
          </w:p>
        </w:tc>
        <w:tc>
          <w:tcPr>
            <w:tcW w:w="2410" w:type="dxa"/>
          </w:tcPr>
          <w:p w:rsidR="009B1A8D" w:rsidRPr="00DB5299" w:rsidRDefault="009B1A8D" w:rsidP="00BF1ACF">
            <w:pPr>
              <w:pStyle w:val="Default"/>
              <w:spacing w:line="276" w:lineRule="auto"/>
              <w:jc w:val="center"/>
              <w:rPr>
                <w:color w:val="auto"/>
                <w:sz w:val="20"/>
                <w:szCs w:val="20"/>
              </w:rPr>
            </w:pPr>
            <w:r w:rsidRPr="00DB5299">
              <w:rPr>
                <w:b/>
                <w:bCs/>
                <w:color w:val="auto"/>
                <w:sz w:val="20"/>
                <w:szCs w:val="20"/>
              </w:rPr>
              <w:t>75.000 €</w:t>
            </w:r>
          </w:p>
        </w:tc>
      </w:tr>
      <w:tr w:rsidR="009B1A8D" w:rsidRPr="00DB5299" w:rsidTr="00BF1ACF">
        <w:trPr>
          <w:trHeight w:val="70"/>
          <w:jc w:val="center"/>
        </w:trPr>
        <w:tc>
          <w:tcPr>
            <w:tcW w:w="1917" w:type="dxa"/>
          </w:tcPr>
          <w:p w:rsidR="009B1A8D" w:rsidRPr="00DB5299" w:rsidRDefault="009B1A8D" w:rsidP="00BF1ACF">
            <w:pPr>
              <w:pStyle w:val="Default"/>
              <w:spacing w:line="276" w:lineRule="auto"/>
              <w:rPr>
                <w:color w:val="auto"/>
                <w:sz w:val="20"/>
                <w:szCs w:val="20"/>
              </w:rPr>
            </w:pPr>
            <w:r w:rsidRPr="00DB5299">
              <w:rPr>
                <w:color w:val="auto"/>
                <w:sz w:val="20"/>
                <w:szCs w:val="20"/>
              </w:rPr>
              <w:t xml:space="preserve">+ de 20 ha </w:t>
            </w:r>
          </w:p>
        </w:tc>
        <w:tc>
          <w:tcPr>
            <w:tcW w:w="2693" w:type="dxa"/>
          </w:tcPr>
          <w:p w:rsidR="009B1A8D" w:rsidRPr="00DB5299" w:rsidRDefault="009B1A8D" w:rsidP="00BF1ACF">
            <w:pPr>
              <w:pStyle w:val="Default"/>
              <w:spacing w:line="276" w:lineRule="auto"/>
              <w:rPr>
                <w:color w:val="auto"/>
                <w:sz w:val="20"/>
                <w:szCs w:val="20"/>
              </w:rPr>
            </w:pPr>
            <w:r w:rsidRPr="00DB5299">
              <w:rPr>
                <w:color w:val="auto"/>
                <w:sz w:val="20"/>
                <w:szCs w:val="20"/>
              </w:rPr>
              <w:t xml:space="preserve">60.000 € </w:t>
            </w:r>
          </w:p>
        </w:tc>
        <w:tc>
          <w:tcPr>
            <w:tcW w:w="2694" w:type="dxa"/>
          </w:tcPr>
          <w:p w:rsidR="009B1A8D" w:rsidRPr="00DB5299" w:rsidRDefault="009B1A8D" w:rsidP="00BF1ACF">
            <w:pPr>
              <w:pStyle w:val="Default"/>
              <w:spacing w:line="276" w:lineRule="auto"/>
              <w:rPr>
                <w:color w:val="auto"/>
                <w:sz w:val="20"/>
                <w:szCs w:val="20"/>
              </w:rPr>
            </w:pPr>
            <w:r w:rsidRPr="00DB5299">
              <w:rPr>
                <w:color w:val="auto"/>
                <w:sz w:val="20"/>
                <w:szCs w:val="20"/>
              </w:rPr>
              <w:t>40.000 €</w:t>
            </w:r>
          </w:p>
        </w:tc>
        <w:tc>
          <w:tcPr>
            <w:tcW w:w="2410" w:type="dxa"/>
          </w:tcPr>
          <w:p w:rsidR="009B1A8D" w:rsidRPr="00DB5299" w:rsidRDefault="009B1A8D" w:rsidP="00BF1ACF">
            <w:pPr>
              <w:pStyle w:val="Default"/>
              <w:spacing w:line="276" w:lineRule="auto"/>
              <w:jc w:val="center"/>
              <w:rPr>
                <w:color w:val="auto"/>
                <w:sz w:val="20"/>
                <w:szCs w:val="20"/>
              </w:rPr>
            </w:pPr>
            <w:r w:rsidRPr="00DB5299">
              <w:rPr>
                <w:b/>
                <w:bCs/>
                <w:color w:val="auto"/>
                <w:sz w:val="20"/>
                <w:szCs w:val="20"/>
              </w:rPr>
              <w:t>100.000 €</w:t>
            </w:r>
          </w:p>
        </w:tc>
      </w:tr>
    </w:tbl>
    <w:p w:rsidR="009B1A8D" w:rsidRPr="00005712" w:rsidRDefault="009B1A8D" w:rsidP="009B1A8D">
      <w:pPr>
        <w:pStyle w:val="Default"/>
        <w:spacing w:line="276" w:lineRule="auto"/>
        <w:jc w:val="both"/>
        <w:rPr>
          <w:color w:val="auto"/>
          <w:sz w:val="22"/>
          <w:szCs w:val="22"/>
        </w:rPr>
      </w:pPr>
    </w:p>
    <w:p w:rsidR="009B1A8D" w:rsidRPr="00005712" w:rsidRDefault="009B1A8D" w:rsidP="009B1A8D">
      <w:pPr>
        <w:pStyle w:val="Default"/>
        <w:numPr>
          <w:ilvl w:val="1"/>
          <w:numId w:val="15"/>
        </w:numPr>
        <w:spacing w:line="276" w:lineRule="auto"/>
        <w:ind w:left="709" w:hanging="709"/>
        <w:jc w:val="both"/>
        <w:rPr>
          <w:color w:val="auto"/>
          <w:sz w:val="22"/>
          <w:szCs w:val="22"/>
        </w:rPr>
      </w:pPr>
      <w:r w:rsidRPr="00005712">
        <w:rPr>
          <w:color w:val="auto"/>
          <w:sz w:val="22"/>
          <w:szCs w:val="22"/>
        </w:rPr>
        <w:t xml:space="preserve">Los importes máximos de las subvenciones que se concedan conforme a los apartados precedentes no podrán superar el 80% del precio de adjudicación del contrato de servicios correspondiente, porcentaje que será tomado como referencia a su vez, para el cálculo de las cuantías máximas por cada fase de elaboración de los trabajos correspondientes. </w:t>
      </w:r>
    </w:p>
    <w:p w:rsidR="009B1A8D" w:rsidRPr="00005712" w:rsidRDefault="009B1A8D" w:rsidP="009B1A8D">
      <w:pPr>
        <w:pStyle w:val="Default"/>
        <w:spacing w:line="276" w:lineRule="auto"/>
        <w:ind w:left="709" w:hanging="709"/>
        <w:jc w:val="both"/>
        <w:rPr>
          <w:color w:val="auto"/>
          <w:sz w:val="22"/>
          <w:szCs w:val="22"/>
        </w:rPr>
      </w:pPr>
    </w:p>
    <w:p w:rsidR="009B1A8D" w:rsidRPr="00005712" w:rsidRDefault="009B1A8D" w:rsidP="009B1A8D">
      <w:pPr>
        <w:pStyle w:val="Default"/>
        <w:numPr>
          <w:ilvl w:val="1"/>
          <w:numId w:val="15"/>
        </w:numPr>
        <w:spacing w:line="276" w:lineRule="auto"/>
        <w:ind w:left="709" w:hanging="709"/>
        <w:jc w:val="both"/>
        <w:rPr>
          <w:color w:val="auto"/>
          <w:sz w:val="22"/>
          <w:szCs w:val="22"/>
        </w:rPr>
      </w:pPr>
      <w:r w:rsidRPr="00005712">
        <w:rPr>
          <w:color w:val="auto"/>
          <w:sz w:val="22"/>
          <w:szCs w:val="22"/>
        </w:rPr>
        <w:t xml:space="preserve">Si las cuantías justificadas en alguna fase por los Ayuntamientos solicitantes fuesen inferiores a las señaladas como máximas en la tabla, los importes de las ayudas a percibir se minorarán en lo que excedan de dichas cantidades justificadas. No obstante, las cuantías no abonadas por no alcanzar las máximas fijadas para cada fase, podrán ser satisfechas en fases posteriores, siempre y cuando sean justificadas y la suma total no superen los importes máximos correspondientes. </w:t>
      </w:r>
    </w:p>
    <w:p w:rsidR="009B1A8D" w:rsidRPr="00005712" w:rsidRDefault="009B1A8D" w:rsidP="009B1A8D">
      <w:pPr>
        <w:pStyle w:val="Prrafodelista"/>
        <w:rPr>
          <w:rFonts w:cs="Arial"/>
        </w:rPr>
      </w:pPr>
    </w:p>
    <w:p w:rsidR="009B1A8D" w:rsidRPr="00005712" w:rsidRDefault="009B1A8D" w:rsidP="009B1A8D">
      <w:pPr>
        <w:pStyle w:val="Default"/>
        <w:spacing w:line="276" w:lineRule="auto"/>
        <w:ind w:left="709"/>
        <w:jc w:val="both"/>
        <w:rPr>
          <w:color w:val="auto"/>
          <w:sz w:val="22"/>
          <w:szCs w:val="22"/>
        </w:rPr>
      </w:pPr>
      <w:r w:rsidRPr="00005712">
        <w:rPr>
          <w:color w:val="auto"/>
          <w:sz w:val="22"/>
          <w:szCs w:val="22"/>
        </w:rPr>
        <w:t xml:space="preserve">Asimismo, cuando las cuantías justificadas en alguna fase fuesen superiores a las señaladas como máximas en la tabla, los importes que excedan de éstas podrán ser abonados en fases posteriores, siempre que no se rebasen los límites máximos señalados. </w:t>
      </w:r>
    </w:p>
    <w:p w:rsidR="009B1A8D" w:rsidRPr="00005712" w:rsidRDefault="009B1A8D" w:rsidP="009B1A8D">
      <w:pPr>
        <w:pStyle w:val="Default"/>
        <w:spacing w:line="276" w:lineRule="auto"/>
        <w:ind w:left="709" w:hanging="709"/>
        <w:jc w:val="both"/>
        <w:rPr>
          <w:color w:val="auto"/>
          <w:sz w:val="22"/>
          <w:szCs w:val="22"/>
        </w:rPr>
      </w:pPr>
    </w:p>
    <w:p w:rsidR="009B1A8D" w:rsidRPr="00005712" w:rsidRDefault="009B1A8D" w:rsidP="009B1A8D">
      <w:pPr>
        <w:pStyle w:val="Default"/>
        <w:numPr>
          <w:ilvl w:val="1"/>
          <w:numId w:val="15"/>
        </w:numPr>
        <w:spacing w:line="276" w:lineRule="auto"/>
        <w:ind w:left="709" w:hanging="709"/>
        <w:jc w:val="both"/>
        <w:rPr>
          <w:color w:val="auto"/>
          <w:sz w:val="22"/>
          <w:szCs w:val="22"/>
        </w:rPr>
      </w:pPr>
      <w:r w:rsidRPr="00005712">
        <w:rPr>
          <w:color w:val="auto"/>
          <w:sz w:val="22"/>
          <w:szCs w:val="22"/>
        </w:rPr>
        <w:t xml:space="preserve">Los Ayuntamientos podrán solicitar las ayudas acumuladamente para dos o más fases que hubieren sido ejecutadas, en cuyo caso el importe de las citadas ayudas constituirá la suma de las cantidades que correspondan a cada una de las fases. </w:t>
      </w:r>
    </w:p>
    <w:p w:rsidR="009B1A8D" w:rsidRPr="00005712" w:rsidRDefault="009B1A8D" w:rsidP="009B1A8D">
      <w:pPr>
        <w:pStyle w:val="Default"/>
        <w:spacing w:line="276" w:lineRule="auto"/>
        <w:ind w:left="709"/>
        <w:jc w:val="both"/>
        <w:rPr>
          <w:color w:val="auto"/>
          <w:sz w:val="22"/>
          <w:szCs w:val="22"/>
        </w:rPr>
      </w:pPr>
    </w:p>
    <w:p w:rsidR="009B1A8D" w:rsidRPr="00005712" w:rsidRDefault="009B1A8D" w:rsidP="009B1A8D">
      <w:pPr>
        <w:pStyle w:val="Default"/>
        <w:numPr>
          <w:ilvl w:val="1"/>
          <w:numId w:val="15"/>
        </w:numPr>
        <w:spacing w:line="276" w:lineRule="auto"/>
        <w:ind w:left="709" w:hanging="709"/>
        <w:jc w:val="both"/>
        <w:rPr>
          <w:color w:val="auto"/>
          <w:sz w:val="22"/>
          <w:szCs w:val="22"/>
        </w:rPr>
      </w:pPr>
      <w:r w:rsidRPr="00005712">
        <w:rPr>
          <w:color w:val="auto"/>
          <w:sz w:val="22"/>
          <w:szCs w:val="22"/>
        </w:rPr>
        <w:t>Las fases que hubieren sido objeto de ayudas en convocatorias anteriores, no podrán ser subvencionadas otra vez en nuevas convocatorias.</w:t>
      </w:r>
    </w:p>
    <w:p w:rsidR="009B1A8D" w:rsidRPr="00005712" w:rsidRDefault="009B1A8D" w:rsidP="009B1A8D">
      <w:pPr>
        <w:pStyle w:val="Prrafodelista"/>
        <w:rPr>
          <w:rFonts w:cs="Arial"/>
        </w:rPr>
      </w:pPr>
    </w:p>
    <w:p w:rsidR="009B1A8D" w:rsidRPr="00005712" w:rsidRDefault="009B1A8D" w:rsidP="009B1A8D">
      <w:pPr>
        <w:pStyle w:val="Default"/>
        <w:numPr>
          <w:ilvl w:val="1"/>
          <w:numId w:val="15"/>
        </w:numPr>
        <w:spacing w:line="276" w:lineRule="auto"/>
        <w:ind w:left="709" w:hanging="709"/>
        <w:jc w:val="both"/>
        <w:rPr>
          <w:color w:val="auto"/>
          <w:sz w:val="22"/>
          <w:szCs w:val="22"/>
        </w:rPr>
      </w:pPr>
      <w:r w:rsidRPr="00005712">
        <w:rPr>
          <w:color w:val="auto"/>
          <w:sz w:val="22"/>
          <w:szCs w:val="22"/>
        </w:rPr>
        <w:t>La concesión de subvenciones quedará condicionada, en todo caso, a las disponibilidades presupuestarias existentes.</w:t>
      </w:r>
    </w:p>
    <w:p w:rsidR="009B1A8D" w:rsidRPr="00005712" w:rsidRDefault="009B1A8D" w:rsidP="009B1A8D">
      <w:pPr>
        <w:pStyle w:val="Prrafodelista"/>
        <w:rPr>
          <w:rFonts w:cs="Arial"/>
        </w:rPr>
      </w:pPr>
    </w:p>
    <w:p w:rsidR="009B1A8D" w:rsidRPr="00005712" w:rsidRDefault="009B1A8D" w:rsidP="009B1A8D">
      <w:pPr>
        <w:pStyle w:val="Ttulo1"/>
        <w:ind w:left="426" w:hanging="426"/>
        <w:rPr>
          <w:rFonts w:ascii="Arial" w:hAnsi="Arial" w:cs="Arial"/>
          <w:sz w:val="22"/>
          <w:szCs w:val="22"/>
        </w:rPr>
      </w:pPr>
      <w:r w:rsidRPr="00005712">
        <w:rPr>
          <w:rFonts w:ascii="Arial" w:hAnsi="Arial" w:cs="Arial"/>
          <w:sz w:val="22"/>
          <w:szCs w:val="22"/>
        </w:rPr>
        <w:t>Plazo y lugar de presentación de solicitudes.</w:t>
      </w:r>
    </w:p>
    <w:p w:rsidR="009B1A8D" w:rsidRPr="00005712" w:rsidRDefault="009B1A8D" w:rsidP="009B1A8D">
      <w:pPr>
        <w:pStyle w:val="Default"/>
        <w:spacing w:line="276" w:lineRule="auto"/>
        <w:jc w:val="both"/>
        <w:rPr>
          <w:b/>
          <w:bCs/>
          <w:i/>
          <w:iCs/>
          <w:sz w:val="22"/>
          <w:szCs w:val="22"/>
        </w:rPr>
      </w:pPr>
    </w:p>
    <w:p w:rsidR="009B1A8D" w:rsidRPr="00005712" w:rsidRDefault="009B1A8D" w:rsidP="009B1A8D">
      <w:pPr>
        <w:pStyle w:val="Default"/>
        <w:spacing w:line="276" w:lineRule="auto"/>
        <w:ind w:left="709" w:hanging="709"/>
        <w:jc w:val="both"/>
        <w:rPr>
          <w:bCs/>
          <w:iCs/>
          <w:sz w:val="22"/>
          <w:szCs w:val="22"/>
        </w:rPr>
      </w:pPr>
      <w:r w:rsidRPr="00005712">
        <w:rPr>
          <w:bCs/>
          <w:iCs/>
          <w:sz w:val="22"/>
          <w:szCs w:val="22"/>
        </w:rPr>
        <w:t>5.1</w:t>
      </w:r>
      <w:r w:rsidRPr="00005712">
        <w:rPr>
          <w:bCs/>
          <w:iCs/>
          <w:sz w:val="22"/>
          <w:szCs w:val="22"/>
        </w:rPr>
        <w:tab/>
        <w:t xml:space="preserve">El plazo de presentación de las solicitudes comenzará el día siguiente al de la publicación de la presente convocatoria en el Boletín Oficial de Navarra y finalizará el día </w:t>
      </w:r>
      <w:r>
        <w:rPr>
          <w:bCs/>
          <w:iCs/>
          <w:sz w:val="22"/>
          <w:szCs w:val="22"/>
        </w:rPr>
        <w:t>3</w:t>
      </w:r>
      <w:r w:rsidRPr="00005712">
        <w:rPr>
          <w:bCs/>
          <w:iCs/>
          <w:sz w:val="22"/>
          <w:szCs w:val="22"/>
        </w:rPr>
        <w:t xml:space="preserve"> de noviembre de 202</w:t>
      </w:r>
      <w:r>
        <w:rPr>
          <w:bCs/>
          <w:iCs/>
          <w:sz w:val="22"/>
          <w:szCs w:val="22"/>
        </w:rPr>
        <w:t>5</w:t>
      </w:r>
      <w:r w:rsidRPr="00005712">
        <w:rPr>
          <w:bCs/>
          <w:iCs/>
          <w:sz w:val="22"/>
          <w:szCs w:val="22"/>
        </w:rPr>
        <w:t xml:space="preserve"> (incluido). La presentación de solicitudes fuera del plazo señalado dará lugar a la inadmisión de las mismas.</w:t>
      </w:r>
    </w:p>
    <w:p w:rsidR="009B1A8D" w:rsidRPr="00005712" w:rsidRDefault="009B1A8D" w:rsidP="009B1A8D">
      <w:pPr>
        <w:pStyle w:val="Default"/>
        <w:spacing w:line="276" w:lineRule="auto"/>
        <w:ind w:left="709" w:hanging="709"/>
        <w:jc w:val="both"/>
        <w:rPr>
          <w:bCs/>
          <w:iCs/>
          <w:sz w:val="22"/>
          <w:szCs w:val="22"/>
        </w:rPr>
      </w:pPr>
    </w:p>
    <w:p w:rsidR="009B1A8D" w:rsidRPr="00005712" w:rsidRDefault="009B1A8D" w:rsidP="009B1A8D">
      <w:pPr>
        <w:pStyle w:val="Default"/>
        <w:spacing w:line="276" w:lineRule="auto"/>
        <w:ind w:left="709" w:hanging="709"/>
        <w:jc w:val="both"/>
        <w:rPr>
          <w:color w:val="auto"/>
          <w:sz w:val="22"/>
          <w:szCs w:val="22"/>
        </w:rPr>
      </w:pPr>
      <w:r w:rsidRPr="00005712">
        <w:rPr>
          <w:bCs/>
          <w:iCs/>
          <w:sz w:val="22"/>
          <w:szCs w:val="22"/>
        </w:rPr>
        <w:lastRenderedPageBreak/>
        <w:t>5.2</w:t>
      </w:r>
      <w:r w:rsidRPr="00005712">
        <w:rPr>
          <w:bCs/>
          <w:iCs/>
          <w:sz w:val="22"/>
          <w:szCs w:val="22"/>
        </w:rPr>
        <w:tab/>
      </w:r>
      <w:r w:rsidRPr="00005712">
        <w:rPr>
          <w:color w:val="auto"/>
          <w:sz w:val="22"/>
          <w:szCs w:val="22"/>
        </w:rPr>
        <w:t>Las solicitudes se presentarán obligatoriamente de manera telemática a través de la ficha correspondiente del catálogo de servicios del Portal del Gobierno de Navarra en Internet:</w:t>
      </w:r>
    </w:p>
    <w:p w:rsidR="009B1A8D" w:rsidRPr="00005712" w:rsidRDefault="009B1A8D" w:rsidP="009B1A8D">
      <w:pPr>
        <w:pStyle w:val="Default"/>
        <w:spacing w:line="276" w:lineRule="auto"/>
        <w:ind w:left="709" w:hanging="142"/>
        <w:jc w:val="both"/>
        <w:rPr>
          <w:bCs/>
          <w:iCs/>
          <w:sz w:val="22"/>
          <w:szCs w:val="22"/>
        </w:rPr>
      </w:pPr>
      <w:r>
        <w:tab/>
      </w:r>
      <w:hyperlink r:id="rId7" w:history="1">
        <w:r w:rsidRPr="00005712">
          <w:rPr>
            <w:rStyle w:val="Hipervnculo"/>
            <w:sz w:val="22"/>
            <w:szCs w:val="22"/>
          </w:rPr>
          <w:t>http://www.navarra.es/home_es/Servicios/</w:t>
        </w:r>
      </w:hyperlink>
      <w:r w:rsidRPr="00005712">
        <w:rPr>
          <w:color w:val="auto"/>
          <w:sz w:val="22"/>
          <w:szCs w:val="22"/>
        </w:rPr>
        <w:t>.</w:t>
      </w:r>
    </w:p>
    <w:p w:rsidR="009B1A8D" w:rsidRPr="00005712" w:rsidRDefault="009B1A8D" w:rsidP="009B1A8D">
      <w:pPr>
        <w:pStyle w:val="Default"/>
        <w:spacing w:line="276" w:lineRule="auto"/>
        <w:ind w:left="709" w:hanging="567"/>
        <w:jc w:val="both"/>
        <w:rPr>
          <w:color w:val="auto"/>
          <w:sz w:val="22"/>
          <w:szCs w:val="22"/>
        </w:rPr>
      </w:pPr>
    </w:p>
    <w:p w:rsidR="009B1A8D" w:rsidRPr="00005712" w:rsidRDefault="009B1A8D" w:rsidP="009B1A8D">
      <w:pPr>
        <w:pStyle w:val="Default"/>
        <w:spacing w:line="276" w:lineRule="auto"/>
        <w:ind w:left="708"/>
        <w:jc w:val="both"/>
        <w:rPr>
          <w:color w:val="auto"/>
          <w:sz w:val="22"/>
          <w:szCs w:val="22"/>
        </w:rPr>
      </w:pPr>
      <w:r w:rsidRPr="00005712">
        <w:rPr>
          <w:color w:val="auto"/>
          <w:sz w:val="22"/>
          <w:szCs w:val="22"/>
        </w:rPr>
        <w:t>No se tendrán por presentadas aquellas solicitudes que no se ajusten al modelo de solicitud establecido para la presente convocatoria. Por tanto, al tenerse por no presentadas, dichas solicitudes no serán objeto de subsanación.</w:t>
      </w:r>
    </w:p>
    <w:p w:rsidR="009B1A8D" w:rsidRPr="00005712" w:rsidRDefault="009B1A8D" w:rsidP="009B1A8D">
      <w:pPr>
        <w:pStyle w:val="Prrafodelista"/>
        <w:rPr>
          <w:rFonts w:cs="Arial"/>
        </w:rPr>
      </w:pPr>
    </w:p>
    <w:p w:rsidR="009B1A8D" w:rsidRPr="00005712" w:rsidRDefault="009B1A8D" w:rsidP="009B1A8D">
      <w:pPr>
        <w:pStyle w:val="Ttulo1"/>
        <w:ind w:left="426" w:hanging="426"/>
        <w:rPr>
          <w:rFonts w:ascii="Arial" w:hAnsi="Arial" w:cs="Arial"/>
          <w:sz w:val="22"/>
          <w:szCs w:val="22"/>
        </w:rPr>
      </w:pPr>
      <w:r w:rsidRPr="00005712">
        <w:rPr>
          <w:rFonts w:ascii="Arial" w:hAnsi="Arial" w:cs="Arial"/>
          <w:sz w:val="22"/>
          <w:szCs w:val="22"/>
        </w:rPr>
        <w:t>Documentación.</w:t>
      </w:r>
    </w:p>
    <w:p w:rsidR="009B1A8D" w:rsidRPr="00005712" w:rsidRDefault="009B1A8D" w:rsidP="009B1A8D">
      <w:pPr>
        <w:pStyle w:val="Default"/>
        <w:spacing w:line="276" w:lineRule="auto"/>
        <w:jc w:val="both"/>
        <w:rPr>
          <w:color w:val="auto"/>
          <w:sz w:val="22"/>
          <w:szCs w:val="22"/>
        </w:rPr>
      </w:pPr>
    </w:p>
    <w:p w:rsidR="009B1A8D" w:rsidRPr="00005712" w:rsidRDefault="009B1A8D" w:rsidP="009B1A8D">
      <w:pPr>
        <w:pStyle w:val="Default"/>
        <w:spacing w:line="276" w:lineRule="auto"/>
        <w:ind w:left="708"/>
        <w:jc w:val="both"/>
        <w:rPr>
          <w:color w:val="auto"/>
          <w:sz w:val="22"/>
          <w:szCs w:val="22"/>
        </w:rPr>
      </w:pPr>
      <w:r w:rsidRPr="00005712">
        <w:rPr>
          <w:color w:val="auto"/>
          <w:sz w:val="22"/>
          <w:szCs w:val="22"/>
        </w:rPr>
        <w:t>Las solicitudes de subvención presentadas por los Ayuntamientos deberán encontrarse cumplimentadas en todos sus extremos y ser suscritas por la Alcaldía Municipal correspondiente. Asimismo, deberán ir acompañadas de la siguiente documentación:</w:t>
      </w:r>
    </w:p>
    <w:p w:rsidR="009B1A8D" w:rsidRPr="00005712" w:rsidRDefault="009B1A8D" w:rsidP="009B1A8D">
      <w:pPr>
        <w:pStyle w:val="Default"/>
        <w:spacing w:line="276" w:lineRule="auto"/>
        <w:jc w:val="both"/>
        <w:rPr>
          <w:color w:val="auto"/>
          <w:sz w:val="22"/>
          <w:szCs w:val="22"/>
        </w:rPr>
      </w:pPr>
    </w:p>
    <w:p w:rsidR="009B1A8D" w:rsidRPr="00005712" w:rsidRDefault="009B1A8D" w:rsidP="009B1A8D">
      <w:pPr>
        <w:pStyle w:val="Default"/>
        <w:numPr>
          <w:ilvl w:val="0"/>
          <w:numId w:val="11"/>
        </w:numPr>
        <w:spacing w:line="276" w:lineRule="auto"/>
        <w:ind w:left="1068"/>
        <w:jc w:val="both"/>
        <w:rPr>
          <w:color w:val="auto"/>
          <w:sz w:val="22"/>
          <w:szCs w:val="22"/>
        </w:rPr>
      </w:pPr>
      <w:r w:rsidRPr="00005712">
        <w:rPr>
          <w:color w:val="auto"/>
          <w:sz w:val="22"/>
          <w:szCs w:val="22"/>
        </w:rPr>
        <w:t xml:space="preserve">Escrito de solicitud, en el que se establezca la fase o fases de redacción del Plan General Municipal o del Plan Especial para la que se solicita la subvención y la cuantía que se solicita, conforme al modelo de instancia del Anexo II. </w:t>
      </w:r>
    </w:p>
    <w:p w:rsidR="009B1A8D" w:rsidRPr="00005712" w:rsidRDefault="009B1A8D" w:rsidP="009B1A8D">
      <w:pPr>
        <w:pStyle w:val="Default"/>
        <w:spacing w:line="276" w:lineRule="auto"/>
        <w:ind w:left="750"/>
        <w:jc w:val="both"/>
        <w:rPr>
          <w:color w:val="auto"/>
          <w:sz w:val="22"/>
          <w:szCs w:val="22"/>
        </w:rPr>
      </w:pPr>
    </w:p>
    <w:p w:rsidR="009B1A8D" w:rsidRPr="00005712" w:rsidRDefault="009B1A8D" w:rsidP="009B1A8D">
      <w:pPr>
        <w:pStyle w:val="Default"/>
        <w:numPr>
          <w:ilvl w:val="0"/>
          <w:numId w:val="11"/>
        </w:numPr>
        <w:spacing w:line="276" w:lineRule="auto"/>
        <w:ind w:left="1068"/>
        <w:jc w:val="both"/>
        <w:rPr>
          <w:color w:val="auto"/>
          <w:sz w:val="22"/>
          <w:szCs w:val="22"/>
        </w:rPr>
      </w:pPr>
      <w:r w:rsidRPr="00005712">
        <w:rPr>
          <w:color w:val="auto"/>
          <w:sz w:val="22"/>
          <w:szCs w:val="22"/>
        </w:rPr>
        <w:t>Certificado expedido por la Secretaría Municipal del acuerdo municipal por el que se hayan adjudicado los trabajos de redacción del Plan General Municipal o del Plan Especial, con indicación del importe del precio de adjudicación, así como de las modificaciones contractuales que, en su caso, fueran aprobadas.</w:t>
      </w:r>
    </w:p>
    <w:p w:rsidR="009B1A8D" w:rsidRPr="00005712" w:rsidRDefault="009B1A8D" w:rsidP="009B1A8D">
      <w:pPr>
        <w:pStyle w:val="Prrafodelista"/>
        <w:rPr>
          <w:rFonts w:cs="Arial"/>
        </w:rPr>
      </w:pPr>
    </w:p>
    <w:p w:rsidR="009B1A8D" w:rsidRPr="00005712" w:rsidRDefault="009B1A8D" w:rsidP="009B1A8D">
      <w:pPr>
        <w:pStyle w:val="Default"/>
        <w:numPr>
          <w:ilvl w:val="0"/>
          <w:numId w:val="11"/>
        </w:numPr>
        <w:spacing w:line="276" w:lineRule="auto"/>
        <w:ind w:left="1068"/>
        <w:jc w:val="both"/>
        <w:rPr>
          <w:color w:val="auto"/>
          <w:sz w:val="22"/>
          <w:szCs w:val="22"/>
        </w:rPr>
      </w:pPr>
      <w:r w:rsidRPr="00005712">
        <w:rPr>
          <w:color w:val="auto"/>
          <w:sz w:val="22"/>
          <w:szCs w:val="22"/>
        </w:rPr>
        <w:t>Certificado expedido por la Secretaría Municipal, en caso de que proceda, del acuerdo municipal en el que se haya aprobado la fase para la que se solicita la subvención para la elaboración del Plan General Municipal o del Plan Especial.</w:t>
      </w:r>
    </w:p>
    <w:p w:rsidR="009B1A8D" w:rsidRPr="00005712" w:rsidRDefault="009B1A8D" w:rsidP="009B1A8D">
      <w:pPr>
        <w:pStyle w:val="Default"/>
        <w:spacing w:line="276" w:lineRule="auto"/>
        <w:ind w:left="708"/>
        <w:jc w:val="both"/>
        <w:rPr>
          <w:color w:val="auto"/>
          <w:sz w:val="22"/>
          <w:szCs w:val="22"/>
        </w:rPr>
      </w:pPr>
    </w:p>
    <w:p w:rsidR="009B1A8D" w:rsidRPr="00005712" w:rsidRDefault="009B1A8D" w:rsidP="009B1A8D">
      <w:pPr>
        <w:pStyle w:val="Default"/>
        <w:numPr>
          <w:ilvl w:val="0"/>
          <w:numId w:val="11"/>
        </w:numPr>
        <w:spacing w:line="276" w:lineRule="auto"/>
        <w:ind w:left="1068"/>
        <w:jc w:val="both"/>
        <w:rPr>
          <w:color w:val="auto"/>
          <w:sz w:val="22"/>
          <w:szCs w:val="22"/>
        </w:rPr>
      </w:pPr>
      <w:r w:rsidRPr="00005712">
        <w:rPr>
          <w:color w:val="auto"/>
          <w:sz w:val="22"/>
          <w:szCs w:val="22"/>
        </w:rPr>
        <w:t xml:space="preserve">Facturas relativas a los gastos efectuados y justificación de los pagos realizados por los trabajos subvencionables. </w:t>
      </w:r>
    </w:p>
    <w:p w:rsidR="009B1A8D" w:rsidRPr="00005712" w:rsidRDefault="009B1A8D" w:rsidP="009B1A8D">
      <w:pPr>
        <w:pStyle w:val="Prrafodelista"/>
        <w:rPr>
          <w:rFonts w:cs="Arial"/>
        </w:rPr>
      </w:pPr>
    </w:p>
    <w:p w:rsidR="009B1A8D" w:rsidRPr="00005712" w:rsidRDefault="009B1A8D" w:rsidP="009B1A8D">
      <w:pPr>
        <w:pStyle w:val="Default"/>
        <w:numPr>
          <w:ilvl w:val="0"/>
          <w:numId w:val="11"/>
        </w:numPr>
        <w:spacing w:line="276" w:lineRule="auto"/>
        <w:ind w:left="1068"/>
        <w:jc w:val="both"/>
        <w:rPr>
          <w:color w:val="auto"/>
          <w:sz w:val="22"/>
          <w:szCs w:val="22"/>
        </w:rPr>
      </w:pPr>
      <w:r w:rsidRPr="00005712">
        <w:rPr>
          <w:color w:val="auto"/>
          <w:sz w:val="22"/>
          <w:szCs w:val="22"/>
        </w:rPr>
        <w:t>Certificado de la Secretaría Municipal sobre el cumplimiento de las prescripciones legales previstas en la Ley Foral 2/2018, de 13 de abril, de contratos públicos.</w:t>
      </w:r>
    </w:p>
    <w:p w:rsidR="009B1A8D" w:rsidRPr="00005712" w:rsidRDefault="009B1A8D" w:rsidP="009B1A8D">
      <w:pPr>
        <w:pStyle w:val="Default"/>
        <w:spacing w:line="276" w:lineRule="auto"/>
        <w:ind w:left="750"/>
        <w:jc w:val="both"/>
        <w:rPr>
          <w:color w:val="auto"/>
          <w:sz w:val="22"/>
          <w:szCs w:val="22"/>
        </w:rPr>
      </w:pPr>
    </w:p>
    <w:p w:rsidR="009B1A8D" w:rsidRPr="00005712" w:rsidRDefault="009B1A8D" w:rsidP="009B1A8D">
      <w:pPr>
        <w:pStyle w:val="Default"/>
        <w:numPr>
          <w:ilvl w:val="0"/>
          <w:numId w:val="11"/>
        </w:numPr>
        <w:spacing w:line="276" w:lineRule="auto"/>
        <w:ind w:left="1068"/>
        <w:jc w:val="both"/>
        <w:rPr>
          <w:color w:val="auto"/>
          <w:sz w:val="22"/>
          <w:szCs w:val="22"/>
        </w:rPr>
      </w:pPr>
      <w:r w:rsidRPr="00005712">
        <w:rPr>
          <w:color w:val="auto"/>
          <w:sz w:val="22"/>
          <w:szCs w:val="22"/>
        </w:rPr>
        <w:t xml:space="preserve">Certificado de la Secretaría Municipal de las subvenciones recibidas para la misma finalidad. </w:t>
      </w:r>
    </w:p>
    <w:p w:rsidR="009B1A8D" w:rsidRPr="00005712" w:rsidRDefault="009B1A8D" w:rsidP="009B1A8D">
      <w:pPr>
        <w:pStyle w:val="Default"/>
        <w:spacing w:line="276" w:lineRule="auto"/>
        <w:ind w:left="750"/>
        <w:jc w:val="both"/>
        <w:rPr>
          <w:color w:val="auto"/>
          <w:sz w:val="22"/>
          <w:szCs w:val="22"/>
        </w:rPr>
      </w:pPr>
    </w:p>
    <w:p w:rsidR="009B1A8D" w:rsidRPr="00005712" w:rsidRDefault="009B1A8D" w:rsidP="009B1A8D">
      <w:pPr>
        <w:pStyle w:val="Default"/>
        <w:numPr>
          <w:ilvl w:val="0"/>
          <w:numId w:val="11"/>
        </w:numPr>
        <w:spacing w:line="276" w:lineRule="auto"/>
        <w:ind w:left="1066" w:hanging="357"/>
        <w:jc w:val="both"/>
        <w:rPr>
          <w:color w:val="auto"/>
          <w:sz w:val="22"/>
          <w:szCs w:val="22"/>
        </w:rPr>
      </w:pPr>
      <w:r w:rsidRPr="00005712">
        <w:rPr>
          <w:color w:val="auto"/>
          <w:sz w:val="22"/>
          <w:szCs w:val="22"/>
        </w:rPr>
        <w:t xml:space="preserve">Declaración responsable de la Alcaldía Municipal de que el Ayuntamiento no se encuentra incurso en ninguna de las prohibiciones establecidas para obtener la condición de beneficiario de subvenciones, establecidas en el artículo 13 de la Ley Foral 11/2005, de 9 de noviembre, de Subvenciones. </w:t>
      </w:r>
    </w:p>
    <w:p w:rsidR="009B1A8D" w:rsidRPr="00005712" w:rsidRDefault="009B1A8D" w:rsidP="009B1A8D">
      <w:pPr>
        <w:pStyle w:val="Default"/>
        <w:spacing w:line="276" w:lineRule="auto"/>
        <w:ind w:left="1068"/>
        <w:jc w:val="both"/>
        <w:rPr>
          <w:color w:val="auto"/>
          <w:sz w:val="22"/>
          <w:szCs w:val="22"/>
        </w:rPr>
      </w:pPr>
    </w:p>
    <w:p w:rsidR="009B1A8D" w:rsidRPr="00005712" w:rsidRDefault="009B1A8D" w:rsidP="009B1A8D">
      <w:pPr>
        <w:pStyle w:val="Default"/>
        <w:numPr>
          <w:ilvl w:val="0"/>
          <w:numId w:val="11"/>
        </w:numPr>
        <w:spacing w:line="276" w:lineRule="auto"/>
        <w:ind w:left="1068"/>
        <w:jc w:val="both"/>
        <w:rPr>
          <w:color w:val="auto"/>
          <w:sz w:val="22"/>
          <w:szCs w:val="22"/>
        </w:rPr>
      </w:pPr>
      <w:r w:rsidRPr="00005712">
        <w:rPr>
          <w:color w:val="auto"/>
          <w:sz w:val="22"/>
          <w:szCs w:val="22"/>
        </w:rPr>
        <w:lastRenderedPageBreak/>
        <w:t>Declaración responsable de la Alcaldía Municipal señalando que el Ayuntamiento se encuentra al corriente en el pago de sus obligaciones tributarias con la Hacienda Foral de Navarra y con la Seguridad Social.</w:t>
      </w:r>
    </w:p>
    <w:p w:rsidR="009B1A8D" w:rsidRPr="00005712" w:rsidRDefault="009B1A8D" w:rsidP="009B1A8D">
      <w:pPr>
        <w:pStyle w:val="Default"/>
        <w:spacing w:line="276" w:lineRule="auto"/>
        <w:ind w:left="1068"/>
        <w:jc w:val="both"/>
        <w:rPr>
          <w:sz w:val="22"/>
          <w:szCs w:val="22"/>
        </w:rPr>
      </w:pPr>
    </w:p>
    <w:p w:rsidR="009B1A8D" w:rsidRPr="00005712" w:rsidRDefault="009B1A8D" w:rsidP="009B1A8D">
      <w:pPr>
        <w:pStyle w:val="Default"/>
        <w:numPr>
          <w:ilvl w:val="0"/>
          <w:numId w:val="11"/>
        </w:numPr>
        <w:spacing w:line="276" w:lineRule="auto"/>
        <w:ind w:left="1068"/>
        <w:jc w:val="both"/>
        <w:rPr>
          <w:color w:val="auto"/>
          <w:sz w:val="22"/>
          <w:szCs w:val="22"/>
        </w:rPr>
      </w:pPr>
      <w:r w:rsidRPr="00005712">
        <w:rPr>
          <w:color w:val="auto"/>
          <w:sz w:val="22"/>
          <w:szCs w:val="22"/>
        </w:rPr>
        <w:t xml:space="preserve">Acreditación o prueba documental de la adopción de las obligaciones de difusión respecto de la subvención concedida, contenidas en </w:t>
      </w:r>
      <w:r>
        <w:rPr>
          <w:color w:val="auto"/>
          <w:sz w:val="22"/>
          <w:szCs w:val="22"/>
        </w:rPr>
        <w:t>la base</w:t>
      </w:r>
      <w:r w:rsidRPr="00005712">
        <w:rPr>
          <w:color w:val="auto"/>
          <w:sz w:val="22"/>
          <w:szCs w:val="22"/>
        </w:rPr>
        <w:t xml:space="preserve"> 14</w:t>
      </w:r>
      <w:r>
        <w:rPr>
          <w:color w:val="auto"/>
          <w:sz w:val="22"/>
          <w:szCs w:val="22"/>
        </w:rPr>
        <w:t>ª</w:t>
      </w:r>
      <w:r w:rsidRPr="00005712">
        <w:rPr>
          <w:color w:val="auto"/>
          <w:sz w:val="22"/>
          <w:szCs w:val="22"/>
        </w:rPr>
        <w:t xml:space="preserve"> (enlace a la web municipal, convocatorias sesiones de participación, etc.).</w:t>
      </w:r>
    </w:p>
    <w:p w:rsidR="009B1A8D" w:rsidRPr="00005712" w:rsidRDefault="009B1A8D" w:rsidP="009B1A8D">
      <w:pPr>
        <w:pStyle w:val="Prrafodelista"/>
        <w:rPr>
          <w:rFonts w:cs="Arial"/>
        </w:rPr>
      </w:pPr>
    </w:p>
    <w:p w:rsidR="009B1A8D" w:rsidRPr="00005712" w:rsidRDefault="009B1A8D" w:rsidP="009B1A8D">
      <w:pPr>
        <w:pStyle w:val="Ttulo1"/>
        <w:ind w:left="426" w:hanging="426"/>
        <w:rPr>
          <w:rFonts w:ascii="Arial" w:hAnsi="Arial" w:cs="Arial"/>
          <w:sz w:val="22"/>
          <w:szCs w:val="22"/>
        </w:rPr>
      </w:pPr>
      <w:r w:rsidRPr="00005712">
        <w:rPr>
          <w:rFonts w:ascii="Arial" w:hAnsi="Arial" w:cs="Arial"/>
          <w:sz w:val="22"/>
          <w:szCs w:val="22"/>
        </w:rPr>
        <w:t xml:space="preserve">Procedimiento de concesión. </w:t>
      </w:r>
    </w:p>
    <w:p w:rsidR="009B1A8D" w:rsidRPr="00005712" w:rsidRDefault="009B1A8D" w:rsidP="009B1A8D">
      <w:pPr>
        <w:rPr>
          <w:rFonts w:cs="Arial"/>
        </w:rPr>
      </w:pPr>
    </w:p>
    <w:p w:rsidR="009B1A8D" w:rsidRPr="00005712" w:rsidRDefault="009B1A8D" w:rsidP="009B1A8D">
      <w:pPr>
        <w:pStyle w:val="Prrafodelista"/>
        <w:autoSpaceDE w:val="0"/>
        <w:autoSpaceDN w:val="0"/>
        <w:adjustRightInd w:val="0"/>
        <w:spacing w:line="276" w:lineRule="auto"/>
        <w:ind w:left="0"/>
        <w:rPr>
          <w:rFonts w:cs="Arial"/>
          <w:vanish/>
        </w:rPr>
      </w:pPr>
    </w:p>
    <w:p w:rsidR="009B1A8D" w:rsidRPr="00005712" w:rsidRDefault="009B1A8D" w:rsidP="009B1A8D">
      <w:pPr>
        <w:pStyle w:val="Default"/>
        <w:spacing w:line="276" w:lineRule="auto"/>
        <w:ind w:left="709" w:hanging="709"/>
        <w:jc w:val="both"/>
        <w:rPr>
          <w:color w:val="auto"/>
          <w:sz w:val="22"/>
          <w:szCs w:val="22"/>
        </w:rPr>
      </w:pPr>
      <w:r w:rsidRPr="00005712">
        <w:rPr>
          <w:sz w:val="22"/>
          <w:szCs w:val="22"/>
        </w:rPr>
        <w:t>7.1</w:t>
      </w:r>
      <w:r w:rsidRPr="00005712">
        <w:rPr>
          <w:sz w:val="22"/>
          <w:szCs w:val="22"/>
        </w:rPr>
        <w:tab/>
      </w:r>
      <w:r w:rsidRPr="00005712">
        <w:rPr>
          <w:color w:val="auto"/>
          <w:sz w:val="22"/>
          <w:szCs w:val="22"/>
        </w:rPr>
        <w:t>El procedimiento de concesión de subvenciones se tramitará en régimen de evaluación individualizada, respetando en todo caso los principios de publicidad, transparencia, objetividad, igualdad y no discriminación, eficacia en el cumplimiento de los objetivos y eficiencia en la asignación y utilización de los recursos públicos.</w:t>
      </w:r>
    </w:p>
    <w:p w:rsidR="009B1A8D" w:rsidRPr="00005712" w:rsidRDefault="009B1A8D" w:rsidP="009B1A8D">
      <w:pPr>
        <w:pStyle w:val="Prrafodelista"/>
        <w:autoSpaceDE w:val="0"/>
        <w:autoSpaceDN w:val="0"/>
        <w:adjustRightInd w:val="0"/>
        <w:spacing w:line="276" w:lineRule="auto"/>
        <w:ind w:left="0"/>
        <w:rPr>
          <w:rFonts w:cs="Arial"/>
        </w:rPr>
      </w:pPr>
    </w:p>
    <w:p w:rsidR="009B1A8D" w:rsidRPr="00005712" w:rsidRDefault="009B1A8D" w:rsidP="009B1A8D">
      <w:pPr>
        <w:pStyle w:val="Default"/>
        <w:spacing w:line="276" w:lineRule="auto"/>
        <w:ind w:left="709" w:hanging="709"/>
        <w:jc w:val="both"/>
        <w:rPr>
          <w:color w:val="auto"/>
          <w:sz w:val="22"/>
          <w:szCs w:val="22"/>
        </w:rPr>
      </w:pPr>
      <w:r w:rsidRPr="00005712">
        <w:rPr>
          <w:sz w:val="22"/>
          <w:szCs w:val="22"/>
        </w:rPr>
        <w:t>7.2</w:t>
      </w:r>
      <w:r w:rsidRPr="00005712">
        <w:rPr>
          <w:sz w:val="22"/>
          <w:szCs w:val="22"/>
        </w:rPr>
        <w:tab/>
      </w:r>
      <w:r w:rsidRPr="00005712">
        <w:rPr>
          <w:color w:val="auto"/>
          <w:sz w:val="22"/>
          <w:szCs w:val="22"/>
        </w:rPr>
        <w:t>Las solicitudes de subvenciones se presentarán una vez finalizadas cada una de las fases de tramitación de los Planes Generales Municipales o de los Planes Especiales a las que se refiere en la tabla contenida en la base 4ª, sin perjuicio de lo dispuesto en el punto 2 de la base 4ª, con indicación expresa de la fase para la que se pide financiación y la cuantía que se solicita, debiendo acompañar a las mismas la documentación exigida en la base 6ª.</w:t>
      </w:r>
    </w:p>
    <w:p w:rsidR="009B1A8D" w:rsidRPr="00005712" w:rsidRDefault="009B1A8D" w:rsidP="009B1A8D">
      <w:pPr>
        <w:pStyle w:val="Prrafodelista"/>
        <w:rPr>
          <w:rFonts w:cs="Arial"/>
        </w:rPr>
      </w:pPr>
    </w:p>
    <w:p w:rsidR="009B1A8D" w:rsidRPr="00005712" w:rsidRDefault="009B1A8D" w:rsidP="009B1A8D">
      <w:pPr>
        <w:pStyle w:val="Ttulo1"/>
        <w:ind w:left="426" w:hanging="426"/>
        <w:rPr>
          <w:rFonts w:ascii="Arial" w:hAnsi="Arial" w:cs="Arial"/>
          <w:sz w:val="22"/>
          <w:szCs w:val="22"/>
        </w:rPr>
      </w:pPr>
      <w:r w:rsidRPr="00005712">
        <w:rPr>
          <w:rFonts w:ascii="Arial" w:hAnsi="Arial" w:cs="Arial"/>
          <w:sz w:val="22"/>
          <w:szCs w:val="22"/>
        </w:rPr>
        <w:t>Ordenación e instrucción.</w:t>
      </w:r>
    </w:p>
    <w:p w:rsidR="009B1A8D" w:rsidRPr="00005712" w:rsidRDefault="009B1A8D" w:rsidP="009B1A8D">
      <w:pPr>
        <w:pStyle w:val="foral-f-titulo4-t8-c"/>
        <w:shd w:val="clear" w:color="auto" w:fill="FFFFFF"/>
        <w:spacing w:before="0" w:beforeAutospacing="0" w:after="0" w:afterAutospacing="0" w:line="276" w:lineRule="auto"/>
        <w:jc w:val="both"/>
        <w:rPr>
          <w:rFonts w:ascii="Arial" w:hAnsi="Arial" w:cs="Arial"/>
          <w:bCs/>
          <w:iCs/>
          <w:color w:val="333333"/>
          <w:sz w:val="22"/>
          <w:szCs w:val="22"/>
          <w:highlight w:val="yellow"/>
        </w:rPr>
      </w:pPr>
    </w:p>
    <w:p w:rsidR="009B1A8D" w:rsidRPr="00005712" w:rsidRDefault="009B1A8D" w:rsidP="009B1A8D">
      <w:pPr>
        <w:pStyle w:val="Default"/>
        <w:numPr>
          <w:ilvl w:val="1"/>
          <w:numId w:val="16"/>
        </w:numPr>
        <w:spacing w:line="276" w:lineRule="auto"/>
        <w:ind w:left="709" w:hanging="709"/>
        <w:jc w:val="both"/>
        <w:rPr>
          <w:color w:val="auto"/>
          <w:sz w:val="22"/>
          <w:szCs w:val="22"/>
        </w:rPr>
      </w:pPr>
      <w:r w:rsidRPr="00005712">
        <w:rPr>
          <w:color w:val="auto"/>
          <w:sz w:val="22"/>
          <w:szCs w:val="22"/>
        </w:rPr>
        <w:t>El órgano competente para la ordenación e instrucción del procedimiento de concesión de las presentes ayudas económicas será el Servicio de Territorio y Paisaje del Departamento de Cohesión Territorial del Gobierno de Navarra, quien verificará el cumplimiento de los requisitos necesarios para acceder a las subvenciones y realizará la valoración de las solicitudes individualmente, atendiendo al orden de presentación de las mismas, determinando la cuantía de la subvención que le corresponde, de acuerdo con las tablas establecidas en la base 4ª.</w:t>
      </w:r>
    </w:p>
    <w:p w:rsidR="009B1A8D" w:rsidRPr="00005712" w:rsidRDefault="009B1A8D" w:rsidP="009B1A8D">
      <w:pPr>
        <w:pStyle w:val="Default"/>
        <w:spacing w:line="276" w:lineRule="auto"/>
        <w:ind w:left="709"/>
        <w:jc w:val="both"/>
        <w:rPr>
          <w:color w:val="auto"/>
          <w:sz w:val="22"/>
          <w:szCs w:val="22"/>
        </w:rPr>
      </w:pPr>
    </w:p>
    <w:p w:rsidR="009B1A8D" w:rsidRPr="00005712" w:rsidRDefault="009B1A8D" w:rsidP="009B1A8D">
      <w:pPr>
        <w:pStyle w:val="Default"/>
        <w:numPr>
          <w:ilvl w:val="1"/>
          <w:numId w:val="16"/>
        </w:numPr>
        <w:spacing w:line="276" w:lineRule="auto"/>
        <w:ind w:left="709" w:hanging="709"/>
        <w:jc w:val="both"/>
        <w:rPr>
          <w:color w:val="auto"/>
          <w:sz w:val="22"/>
          <w:szCs w:val="22"/>
        </w:rPr>
      </w:pPr>
      <w:r w:rsidRPr="00005712">
        <w:rPr>
          <w:color w:val="auto"/>
          <w:sz w:val="22"/>
          <w:szCs w:val="22"/>
        </w:rPr>
        <w:t xml:space="preserve">Si las solicitudes no reuniesen los requisitos establecidos o no se acompañaran de los documentos exigidos, se requerirá al Ayuntamiento solicitante, para que subsane los defectos o aporte los documentos necesarios en el plazo de diez días hábiles, con indicación de que, si así no lo hiciera, se le tendrá por desistido de su solicitud, de conformidad con lo dispuesto en el artículo 68 de la Ley 39/2015, de 1 de octubre, del Procedimiento Administrativo Común de las Administraciones Públicas. </w:t>
      </w:r>
    </w:p>
    <w:p w:rsidR="009B1A8D" w:rsidRPr="00005712" w:rsidRDefault="009B1A8D" w:rsidP="009B1A8D">
      <w:pPr>
        <w:pStyle w:val="Default"/>
        <w:spacing w:line="276" w:lineRule="auto"/>
        <w:ind w:left="709"/>
        <w:jc w:val="both"/>
        <w:rPr>
          <w:color w:val="auto"/>
          <w:sz w:val="22"/>
          <w:szCs w:val="22"/>
        </w:rPr>
      </w:pPr>
    </w:p>
    <w:p w:rsidR="009B1A8D" w:rsidRPr="00005712" w:rsidRDefault="009B1A8D" w:rsidP="009B1A8D">
      <w:pPr>
        <w:pStyle w:val="Default"/>
        <w:spacing w:line="276" w:lineRule="auto"/>
        <w:ind w:left="708"/>
        <w:jc w:val="both"/>
        <w:rPr>
          <w:color w:val="auto"/>
          <w:sz w:val="22"/>
          <w:szCs w:val="22"/>
        </w:rPr>
      </w:pPr>
      <w:r w:rsidRPr="00005712">
        <w:rPr>
          <w:color w:val="auto"/>
          <w:sz w:val="22"/>
          <w:szCs w:val="22"/>
        </w:rPr>
        <w:t>El requerimiento para completar o subsanar la documentación a que se refiere el párrafo anterior se realizará mediante notificación electrónica a la dirección electrónica habilitada.</w:t>
      </w:r>
    </w:p>
    <w:p w:rsidR="009B1A8D" w:rsidRPr="00005712" w:rsidRDefault="009B1A8D" w:rsidP="009B1A8D">
      <w:pPr>
        <w:pStyle w:val="Default"/>
        <w:spacing w:line="276" w:lineRule="auto"/>
        <w:ind w:left="390"/>
        <w:jc w:val="both"/>
        <w:rPr>
          <w:color w:val="auto"/>
          <w:sz w:val="22"/>
          <w:szCs w:val="22"/>
        </w:rPr>
      </w:pPr>
    </w:p>
    <w:p w:rsidR="009B1A8D" w:rsidRPr="00005712" w:rsidRDefault="009B1A8D" w:rsidP="009B1A8D">
      <w:pPr>
        <w:pStyle w:val="Default"/>
        <w:numPr>
          <w:ilvl w:val="1"/>
          <w:numId w:val="16"/>
        </w:numPr>
        <w:spacing w:line="276" w:lineRule="auto"/>
        <w:ind w:left="709" w:hanging="709"/>
        <w:jc w:val="both"/>
        <w:rPr>
          <w:color w:val="auto"/>
          <w:sz w:val="22"/>
          <w:szCs w:val="22"/>
        </w:rPr>
      </w:pPr>
      <w:r w:rsidRPr="00005712">
        <w:rPr>
          <w:color w:val="auto"/>
          <w:sz w:val="22"/>
          <w:szCs w:val="22"/>
        </w:rPr>
        <w:lastRenderedPageBreak/>
        <w:t xml:space="preserve">Las solicitudes se resolverán por orden de presentación, y se otorgarán hasta agotar el crédito presupuestario correspondiente. Las solicitudes que no fueran atendidas por falta de consignación presupuestaria, serán tenidas en cuenta para convocatorias posteriores, respetando, además, la fecha de solicitud de la convocatoria en la que se solicitó la ayuda. </w:t>
      </w:r>
    </w:p>
    <w:p w:rsidR="009B1A8D" w:rsidRPr="00005712" w:rsidRDefault="009B1A8D" w:rsidP="009B1A8D">
      <w:pPr>
        <w:pStyle w:val="Default"/>
        <w:spacing w:line="276" w:lineRule="auto"/>
        <w:ind w:left="708"/>
        <w:jc w:val="both"/>
        <w:rPr>
          <w:color w:val="auto"/>
          <w:sz w:val="22"/>
          <w:szCs w:val="22"/>
        </w:rPr>
      </w:pPr>
    </w:p>
    <w:p w:rsidR="009B1A8D" w:rsidRPr="00005712" w:rsidRDefault="009B1A8D" w:rsidP="009B1A8D">
      <w:pPr>
        <w:pStyle w:val="Default"/>
        <w:spacing w:line="276" w:lineRule="auto"/>
        <w:ind w:left="708"/>
        <w:jc w:val="both"/>
        <w:rPr>
          <w:color w:val="auto"/>
          <w:sz w:val="22"/>
          <w:szCs w:val="22"/>
        </w:rPr>
      </w:pPr>
      <w:r w:rsidRPr="00005712">
        <w:rPr>
          <w:color w:val="auto"/>
          <w:sz w:val="22"/>
          <w:szCs w:val="22"/>
        </w:rPr>
        <w:t xml:space="preserve">A los efectos previstos en el presente apartado, las solicitudes incompletas se tendrán por no presentadas hasta la completa subsanación de la solicitud. </w:t>
      </w:r>
    </w:p>
    <w:p w:rsidR="009B1A8D" w:rsidRPr="00005712" w:rsidRDefault="009B1A8D" w:rsidP="009B1A8D">
      <w:pPr>
        <w:pStyle w:val="Prrafodelista"/>
        <w:rPr>
          <w:rFonts w:cs="Arial"/>
        </w:rPr>
      </w:pPr>
    </w:p>
    <w:p w:rsidR="009B1A8D" w:rsidRPr="00005712" w:rsidRDefault="009B1A8D" w:rsidP="009B1A8D">
      <w:pPr>
        <w:pStyle w:val="Ttulo1"/>
        <w:ind w:left="426" w:hanging="426"/>
        <w:rPr>
          <w:rFonts w:ascii="Arial" w:hAnsi="Arial" w:cs="Arial"/>
          <w:sz w:val="22"/>
          <w:szCs w:val="22"/>
        </w:rPr>
      </w:pPr>
      <w:r w:rsidRPr="00005712">
        <w:rPr>
          <w:rFonts w:ascii="Arial" w:hAnsi="Arial" w:cs="Arial"/>
          <w:sz w:val="22"/>
          <w:szCs w:val="22"/>
        </w:rPr>
        <w:t>Resolución de concesión.</w:t>
      </w:r>
    </w:p>
    <w:p w:rsidR="009B1A8D" w:rsidRPr="00005712" w:rsidRDefault="009B1A8D" w:rsidP="009B1A8D">
      <w:pPr>
        <w:pStyle w:val="foral-f-titulo4-t8-c"/>
        <w:shd w:val="clear" w:color="auto" w:fill="FFFFFF"/>
        <w:spacing w:before="0" w:beforeAutospacing="0" w:after="0" w:afterAutospacing="0" w:line="276" w:lineRule="auto"/>
        <w:jc w:val="both"/>
        <w:rPr>
          <w:rFonts w:ascii="Arial" w:hAnsi="Arial" w:cs="Arial"/>
          <w:bCs/>
          <w:iCs/>
          <w:sz w:val="22"/>
          <w:szCs w:val="22"/>
          <w:highlight w:val="yellow"/>
        </w:rPr>
      </w:pPr>
    </w:p>
    <w:p w:rsidR="009B1A8D" w:rsidRPr="00005712" w:rsidRDefault="009B1A8D" w:rsidP="009B1A8D">
      <w:pPr>
        <w:pStyle w:val="Default"/>
        <w:numPr>
          <w:ilvl w:val="1"/>
          <w:numId w:val="19"/>
        </w:numPr>
        <w:spacing w:line="276" w:lineRule="auto"/>
        <w:ind w:left="709" w:hanging="709"/>
        <w:jc w:val="both"/>
        <w:rPr>
          <w:color w:val="auto"/>
          <w:sz w:val="22"/>
          <w:szCs w:val="22"/>
        </w:rPr>
      </w:pPr>
      <w:r w:rsidRPr="00005712">
        <w:rPr>
          <w:color w:val="auto"/>
          <w:sz w:val="22"/>
          <w:szCs w:val="22"/>
        </w:rPr>
        <w:t xml:space="preserve">Las subvenciones se concederán o denegarán por la Dirección General competente en materia de ordenación del territorio y urbanismo. Dicha resolución determinará la cuantía de la subvención concedida y el pago de la misma. </w:t>
      </w:r>
    </w:p>
    <w:p w:rsidR="009B1A8D" w:rsidRPr="00005712" w:rsidRDefault="009B1A8D" w:rsidP="009B1A8D">
      <w:pPr>
        <w:pStyle w:val="Default"/>
        <w:spacing w:line="276" w:lineRule="auto"/>
        <w:ind w:left="390"/>
        <w:jc w:val="both"/>
        <w:rPr>
          <w:color w:val="auto"/>
          <w:sz w:val="22"/>
          <w:szCs w:val="22"/>
        </w:rPr>
      </w:pPr>
    </w:p>
    <w:p w:rsidR="009B1A8D" w:rsidRPr="00005712" w:rsidRDefault="009B1A8D" w:rsidP="009B1A8D">
      <w:pPr>
        <w:pStyle w:val="Default"/>
        <w:numPr>
          <w:ilvl w:val="1"/>
          <w:numId w:val="19"/>
        </w:numPr>
        <w:spacing w:line="276" w:lineRule="auto"/>
        <w:ind w:left="709" w:hanging="709"/>
        <w:jc w:val="both"/>
        <w:rPr>
          <w:color w:val="auto"/>
          <w:sz w:val="22"/>
          <w:szCs w:val="22"/>
        </w:rPr>
      </w:pPr>
      <w:r w:rsidRPr="00005712">
        <w:rPr>
          <w:color w:val="auto"/>
          <w:sz w:val="22"/>
          <w:szCs w:val="22"/>
        </w:rPr>
        <w:t>La resolución deberá ser notificada telemáticamente en el plazo de tres meses a partir de la entrada de la solicitud en el registro del órgano competente para la tramitación. Transcurrido el citado plazo sin que se hubiere dictado y notificado la resolución, la solicitud podrá entenderse desestimada.</w:t>
      </w:r>
    </w:p>
    <w:p w:rsidR="009B1A8D" w:rsidRPr="00005712" w:rsidRDefault="009B1A8D" w:rsidP="009B1A8D">
      <w:pPr>
        <w:pStyle w:val="Default"/>
        <w:spacing w:line="276" w:lineRule="auto"/>
        <w:jc w:val="both"/>
        <w:rPr>
          <w:color w:val="auto"/>
          <w:sz w:val="22"/>
          <w:szCs w:val="22"/>
        </w:rPr>
      </w:pPr>
    </w:p>
    <w:p w:rsidR="009B1A8D" w:rsidRPr="00005712" w:rsidRDefault="009B1A8D" w:rsidP="009B1A8D">
      <w:pPr>
        <w:pStyle w:val="Default"/>
        <w:numPr>
          <w:ilvl w:val="1"/>
          <w:numId w:val="19"/>
        </w:numPr>
        <w:spacing w:line="276" w:lineRule="auto"/>
        <w:ind w:left="709" w:hanging="709"/>
        <w:jc w:val="both"/>
        <w:rPr>
          <w:color w:val="auto"/>
          <w:sz w:val="22"/>
          <w:szCs w:val="22"/>
        </w:rPr>
      </w:pPr>
      <w:r w:rsidRPr="00005712">
        <w:rPr>
          <w:color w:val="auto"/>
          <w:sz w:val="22"/>
          <w:szCs w:val="22"/>
        </w:rPr>
        <w:t>La concesión de una ayuda con cargo a un ejercicio económico determinado no supondrá la adquisición de derechos para la obtención de subvenciones con cargo a ejercicios económicos posteriores.</w:t>
      </w:r>
    </w:p>
    <w:p w:rsidR="009B1A8D" w:rsidRPr="00005712" w:rsidRDefault="009B1A8D" w:rsidP="009B1A8D">
      <w:pPr>
        <w:pStyle w:val="Prrafodelista"/>
        <w:ind w:left="0"/>
        <w:rPr>
          <w:rFonts w:cs="Arial"/>
        </w:rPr>
      </w:pPr>
    </w:p>
    <w:p w:rsidR="009B1A8D" w:rsidRPr="00005712" w:rsidRDefault="009B1A8D" w:rsidP="009B1A8D">
      <w:pPr>
        <w:pStyle w:val="Default"/>
        <w:numPr>
          <w:ilvl w:val="1"/>
          <w:numId w:val="19"/>
        </w:numPr>
        <w:spacing w:line="276" w:lineRule="auto"/>
        <w:ind w:left="709" w:hanging="709"/>
        <w:jc w:val="both"/>
        <w:rPr>
          <w:color w:val="auto"/>
          <w:sz w:val="22"/>
          <w:szCs w:val="22"/>
        </w:rPr>
      </w:pPr>
      <w:r w:rsidRPr="00005712">
        <w:rPr>
          <w:color w:val="auto"/>
          <w:sz w:val="22"/>
          <w:szCs w:val="22"/>
        </w:rPr>
        <w:t>Frente a la resolución, expresa o presunta, cabe interponer recurso de alzada ante el Consejero de Cohesión Territorial, de conformidad con lo dispuesto en la Ley Foral 11/2019, de 11 de marzo, de la Administración de la Comunidad Foral de Navarra y del Sector Público Institucional Foral y en la Ley 39/2015, de 1 de octubre, del Procedimiento Administrativo Común de las Administraciones Públicas.</w:t>
      </w:r>
    </w:p>
    <w:p w:rsidR="009B1A8D" w:rsidRPr="00005712" w:rsidRDefault="009B1A8D" w:rsidP="009B1A8D">
      <w:pPr>
        <w:pStyle w:val="Prrafodelista"/>
        <w:rPr>
          <w:rFonts w:cs="Arial"/>
        </w:rPr>
      </w:pPr>
    </w:p>
    <w:p w:rsidR="009B1A8D" w:rsidRPr="00005712" w:rsidRDefault="009B1A8D" w:rsidP="009B1A8D">
      <w:pPr>
        <w:pStyle w:val="Ttulo1"/>
        <w:ind w:left="426" w:hanging="426"/>
        <w:rPr>
          <w:rFonts w:ascii="Arial" w:hAnsi="Arial" w:cs="Arial"/>
          <w:sz w:val="22"/>
          <w:szCs w:val="22"/>
        </w:rPr>
      </w:pPr>
      <w:r w:rsidRPr="00005712">
        <w:rPr>
          <w:rFonts w:ascii="Arial" w:hAnsi="Arial" w:cs="Arial"/>
          <w:sz w:val="22"/>
          <w:szCs w:val="22"/>
        </w:rPr>
        <w:t>Abono de la subvención.</w:t>
      </w:r>
    </w:p>
    <w:p w:rsidR="009B1A8D" w:rsidRPr="00005712" w:rsidRDefault="009B1A8D" w:rsidP="009B1A8D">
      <w:pPr>
        <w:pStyle w:val="foral-f-titulo4-t8-c"/>
        <w:shd w:val="clear" w:color="auto" w:fill="FFFFFF"/>
        <w:spacing w:before="0" w:beforeAutospacing="0" w:after="0" w:afterAutospacing="0" w:line="276" w:lineRule="auto"/>
        <w:jc w:val="both"/>
        <w:rPr>
          <w:rFonts w:ascii="Arial" w:hAnsi="Arial" w:cs="Arial"/>
          <w:bCs/>
          <w:iCs/>
          <w:sz w:val="22"/>
          <w:szCs w:val="22"/>
          <w:highlight w:val="yellow"/>
        </w:rPr>
      </w:pPr>
    </w:p>
    <w:p w:rsidR="009B1A8D" w:rsidRPr="00005712" w:rsidRDefault="009B1A8D" w:rsidP="009B1A8D">
      <w:pPr>
        <w:pStyle w:val="Default"/>
        <w:spacing w:line="276" w:lineRule="auto"/>
        <w:ind w:left="708"/>
        <w:jc w:val="both"/>
        <w:rPr>
          <w:color w:val="auto"/>
          <w:sz w:val="22"/>
          <w:szCs w:val="22"/>
        </w:rPr>
      </w:pPr>
      <w:r w:rsidRPr="00005712">
        <w:rPr>
          <w:color w:val="auto"/>
          <w:sz w:val="22"/>
          <w:szCs w:val="22"/>
        </w:rPr>
        <w:t>El abono de la subvención vendrá ya acordado en la resolución de concesión y se abonará por transferencia en el plazo máximo de dos meses desde la notificación de la correspondiente resolución, siempre con anterioridad al 31 de diciembre de 202</w:t>
      </w:r>
      <w:r>
        <w:rPr>
          <w:color w:val="auto"/>
          <w:sz w:val="22"/>
          <w:szCs w:val="22"/>
        </w:rPr>
        <w:t>5</w:t>
      </w:r>
      <w:r w:rsidRPr="00005712">
        <w:rPr>
          <w:color w:val="auto"/>
          <w:sz w:val="22"/>
          <w:szCs w:val="22"/>
        </w:rPr>
        <w:t>.</w:t>
      </w:r>
    </w:p>
    <w:p w:rsidR="009B1A8D" w:rsidRPr="00005712" w:rsidRDefault="009B1A8D" w:rsidP="009B1A8D">
      <w:pPr>
        <w:pStyle w:val="Prrafodelista"/>
        <w:rPr>
          <w:rFonts w:cs="Arial"/>
        </w:rPr>
      </w:pPr>
    </w:p>
    <w:p w:rsidR="009B1A8D" w:rsidRPr="00005712" w:rsidRDefault="009B1A8D" w:rsidP="009B1A8D">
      <w:pPr>
        <w:pStyle w:val="Ttulo1"/>
        <w:ind w:left="426" w:hanging="426"/>
        <w:rPr>
          <w:rFonts w:ascii="Arial" w:hAnsi="Arial" w:cs="Arial"/>
          <w:sz w:val="22"/>
          <w:szCs w:val="22"/>
        </w:rPr>
      </w:pPr>
      <w:r w:rsidRPr="00005712">
        <w:rPr>
          <w:rFonts w:ascii="Arial" w:hAnsi="Arial" w:cs="Arial"/>
          <w:sz w:val="22"/>
          <w:szCs w:val="22"/>
        </w:rPr>
        <w:t>Compatibilidad de las ayudas.</w:t>
      </w:r>
    </w:p>
    <w:p w:rsidR="009B1A8D" w:rsidRPr="00005712" w:rsidRDefault="009B1A8D" w:rsidP="009B1A8D">
      <w:pPr>
        <w:pStyle w:val="Default"/>
        <w:spacing w:line="276" w:lineRule="auto"/>
        <w:rPr>
          <w:color w:val="auto"/>
          <w:sz w:val="22"/>
          <w:szCs w:val="22"/>
        </w:rPr>
      </w:pPr>
    </w:p>
    <w:p w:rsidR="009B1A8D" w:rsidRPr="00005712" w:rsidRDefault="009B1A8D" w:rsidP="009B1A8D">
      <w:pPr>
        <w:pStyle w:val="Default"/>
        <w:spacing w:line="276" w:lineRule="auto"/>
        <w:ind w:left="708"/>
        <w:jc w:val="both"/>
        <w:rPr>
          <w:color w:val="auto"/>
          <w:sz w:val="22"/>
          <w:szCs w:val="22"/>
        </w:rPr>
      </w:pPr>
      <w:r w:rsidRPr="00005712">
        <w:rPr>
          <w:color w:val="auto"/>
          <w:sz w:val="22"/>
          <w:szCs w:val="22"/>
        </w:rPr>
        <w:t>Las subvenciones previstas en la presente Convocatoria serán compatibles con otras concedidas para el mismo fin, cualquiera que sea su naturaleza y la administración o entidad que las conceda, siempre que la suma de todas ellas no supere el coste de la actividad subvencionada.</w:t>
      </w:r>
    </w:p>
    <w:p w:rsidR="009B1A8D" w:rsidRPr="00005712" w:rsidRDefault="009B1A8D" w:rsidP="009B1A8D">
      <w:pPr>
        <w:pStyle w:val="Prrafodelista"/>
        <w:rPr>
          <w:rFonts w:cs="Arial"/>
        </w:rPr>
      </w:pPr>
    </w:p>
    <w:p w:rsidR="009B1A8D" w:rsidRPr="00005712" w:rsidRDefault="009B1A8D" w:rsidP="009B1A8D">
      <w:pPr>
        <w:pStyle w:val="Ttulo1"/>
        <w:ind w:left="426" w:hanging="426"/>
        <w:rPr>
          <w:rFonts w:ascii="Arial" w:hAnsi="Arial" w:cs="Arial"/>
          <w:sz w:val="22"/>
          <w:szCs w:val="22"/>
        </w:rPr>
      </w:pPr>
      <w:r w:rsidRPr="00005712">
        <w:rPr>
          <w:rFonts w:ascii="Arial" w:hAnsi="Arial" w:cs="Arial"/>
          <w:sz w:val="22"/>
          <w:szCs w:val="22"/>
        </w:rPr>
        <w:t xml:space="preserve"> Conceptos subvencionables. </w:t>
      </w:r>
    </w:p>
    <w:p w:rsidR="009B1A8D" w:rsidRPr="00005712" w:rsidRDefault="009B1A8D" w:rsidP="009B1A8D">
      <w:pPr>
        <w:pStyle w:val="Default"/>
        <w:spacing w:line="276" w:lineRule="auto"/>
        <w:jc w:val="both"/>
        <w:rPr>
          <w:color w:val="auto"/>
          <w:sz w:val="22"/>
          <w:szCs w:val="22"/>
        </w:rPr>
      </w:pPr>
    </w:p>
    <w:p w:rsidR="009B1A8D" w:rsidRPr="00005712" w:rsidRDefault="009B1A8D" w:rsidP="009B1A8D">
      <w:pPr>
        <w:pStyle w:val="Default"/>
        <w:numPr>
          <w:ilvl w:val="1"/>
          <w:numId w:val="17"/>
        </w:numPr>
        <w:spacing w:line="276" w:lineRule="auto"/>
        <w:ind w:left="709" w:hanging="709"/>
        <w:jc w:val="both"/>
        <w:rPr>
          <w:color w:val="auto"/>
          <w:sz w:val="22"/>
          <w:szCs w:val="22"/>
        </w:rPr>
      </w:pPr>
      <w:r w:rsidRPr="00005712">
        <w:rPr>
          <w:color w:val="auto"/>
          <w:sz w:val="22"/>
          <w:szCs w:val="22"/>
        </w:rPr>
        <w:t xml:space="preserve">Se considerarán gastos subvencionables los honorarios derivados de la contratación de los servicios profesionales precisos para la realización de los trabajos de redacción de los Planes Generales Municipales y de los Planes Especiales, incluido el IVA. </w:t>
      </w:r>
    </w:p>
    <w:p w:rsidR="009B1A8D" w:rsidRPr="00005712" w:rsidRDefault="009B1A8D" w:rsidP="009B1A8D">
      <w:pPr>
        <w:pStyle w:val="Default"/>
        <w:spacing w:line="276" w:lineRule="auto"/>
        <w:ind w:left="708"/>
        <w:jc w:val="both"/>
        <w:rPr>
          <w:color w:val="auto"/>
          <w:sz w:val="22"/>
          <w:szCs w:val="22"/>
        </w:rPr>
      </w:pPr>
    </w:p>
    <w:p w:rsidR="009B1A8D" w:rsidRPr="00005712" w:rsidRDefault="009B1A8D" w:rsidP="009B1A8D">
      <w:pPr>
        <w:pStyle w:val="Default"/>
        <w:spacing w:line="276" w:lineRule="auto"/>
        <w:ind w:left="708"/>
        <w:jc w:val="both"/>
        <w:rPr>
          <w:color w:val="auto"/>
          <w:sz w:val="22"/>
          <w:szCs w:val="22"/>
        </w:rPr>
      </w:pPr>
      <w:r w:rsidRPr="00005712">
        <w:rPr>
          <w:color w:val="auto"/>
          <w:sz w:val="22"/>
          <w:szCs w:val="22"/>
        </w:rPr>
        <w:t xml:space="preserve">Se subvencionará hasta un máximo del 80% del precio de adjudicación de los correspondientes contratos de servicios, siempre y cuando no se superen los importes máximos fijados en la base 4ª. </w:t>
      </w:r>
    </w:p>
    <w:p w:rsidR="009B1A8D" w:rsidRPr="00005712" w:rsidRDefault="009B1A8D" w:rsidP="009B1A8D">
      <w:pPr>
        <w:pStyle w:val="Default"/>
        <w:spacing w:line="276" w:lineRule="auto"/>
        <w:ind w:left="390"/>
        <w:jc w:val="both"/>
        <w:rPr>
          <w:color w:val="auto"/>
          <w:sz w:val="22"/>
          <w:szCs w:val="22"/>
        </w:rPr>
      </w:pPr>
      <w:r w:rsidRPr="00005712">
        <w:rPr>
          <w:color w:val="auto"/>
          <w:sz w:val="22"/>
          <w:szCs w:val="22"/>
        </w:rPr>
        <w:tab/>
      </w:r>
    </w:p>
    <w:p w:rsidR="009B1A8D" w:rsidRPr="00005712" w:rsidRDefault="009B1A8D" w:rsidP="009B1A8D">
      <w:pPr>
        <w:pStyle w:val="Default"/>
        <w:numPr>
          <w:ilvl w:val="1"/>
          <w:numId w:val="17"/>
        </w:numPr>
        <w:spacing w:line="276" w:lineRule="auto"/>
        <w:ind w:left="709" w:hanging="709"/>
        <w:jc w:val="both"/>
        <w:rPr>
          <w:color w:val="auto"/>
          <w:sz w:val="22"/>
          <w:szCs w:val="22"/>
        </w:rPr>
      </w:pPr>
      <w:r w:rsidRPr="00005712">
        <w:rPr>
          <w:color w:val="auto"/>
          <w:sz w:val="22"/>
          <w:szCs w:val="22"/>
        </w:rPr>
        <w:t>La concesión y abono de las ayudas se realizará de manera fraccionada, al término de cada una de las fases de elaboración y tramitación de los instrumentos establecidos en la tabla contenida en la base 4ª, mediante resolución dictada por la persona titular de la Dirección General competente en materia de ordenación del territorio y urbanismo, previa comprobación del cumplimiento de las condiciones establecidas en las presentes bases y en el Decreto Foral 98/2022, de 16 de noviembre, por el que se regula el régimen de ayudas para la elaboración del planeamiento urbanístico municipal.</w:t>
      </w:r>
    </w:p>
    <w:p w:rsidR="009B1A8D" w:rsidRPr="00005712" w:rsidRDefault="009B1A8D" w:rsidP="009B1A8D">
      <w:pPr>
        <w:pStyle w:val="Default"/>
        <w:spacing w:line="276" w:lineRule="auto"/>
        <w:ind w:left="709"/>
        <w:jc w:val="both"/>
        <w:rPr>
          <w:color w:val="auto"/>
          <w:sz w:val="22"/>
          <w:szCs w:val="22"/>
        </w:rPr>
      </w:pPr>
    </w:p>
    <w:p w:rsidR="009B1A8D" w:rsidRPr="00005712" w:rsidRDefault="009B1A8D" w:rsidP="009B1A8D">
      <w:pPr>
        <w:pStyle w:val="Default"/>
        <w:numPr>
          <w:ilvl w:val="1"/>
          <w:numId w:val="17"/>
        </w:numPr>
        <w:spacing w:line="276" w:lineRule="auto"/>
        <w:ind w:left="709" w:hanging="709"/>
        <w:jc w:val="both"/>
        <w:rPr>
          <w:color w:val="auto"/>
          <w:sz w:val="22"/>
          <w:szCs w:val="22"/>
        </w:rPr>
      </w:pPr>
      <w:r w:rsidRPr="00005712">
        <w:rPr>
          <w:color w:val="auto"/>
          <w:sz w:val="22"/>
          <w:szCs w:val="22"/>
        </w:rPr>
        <w:t xml:space="preserve">Para acceder a las ayudas, cada una de las fases referidas deberá haber sido completada con los documentos requeridos por la legislación vigente en materia de ordenación del territorio y urbanismo. </w:t>
      </w:r>
    </w:p>
    <w:p w:rsidR="009B1A8D" w:rsidRPr="00005712" w:rsidRDefault="009B1A8D" w:rsidP="009B1A8D">
      <w:pPr>
        <w:pStyle w:val="Default"/>
        <w:spacing w:line="276" w:lineRule="auto"/>
        <w:ind w:left="709"/>
        <w:jc w:val="both"/>
        <w:rPr>
          <w:color w:val="auto"/>
          <w:sz w:val="22"/>
          <w:szCs w:val="22"/>
        </w:rPr>
      </w:pPr>
    </w:p>
    <w:p w:rsidR="009B1A8D" w:rsidRPr="00005712" w:rsidRDefault="009B1A8D" w:rsidP="009B1A8D">
      <w:pPr>
        <w:pStyle w:val="Default"/>
        <w:numPr>
          <w:ilvl w:val="1"/>
          <w:numId w:val="17"/>
        </w:numPr>
        <w:spacing w:line="276" w:lineRule="auto"/>
        <w:ind w:left="709" w:hanging="709"/>
        <w:jc w:val="both"/>
        <w:rPr>
          <w:color w:val="auto"/>
          <w:sz w:val="22"/>
          <w:szCs w:val="22"/>
        </w:rPr>
      </w:pPr>
      <w:r w:rsidRPr="00005712">
        <w:rPr>
          <w:color w:val="auto"/>
          <w:sz w:val="22"/>
          <w:szCs w:val="22"/>
        </w:rPr>
        <w:t>La realización de los trabajos subvencionables podrá haber sido llevada a cabo en el ejercicio presupuestario en el que se publique la correspondiente convocatoria, o en ejercicios anteriores.</w:t>
      </w:r>
    </w:p>
    <w:p w:rsidR="009B1A8D" w:rsidRPr="00005712" w:rsidRDefault="009B1A8D" w:rsidP="009B1A8D">
      <w:pPr>
        <w:pStyle w:val="Prrafodelista"/>
        <w:rPr>
          <w:rFonts w:cs="Arial"/>
        </w:rPr>
      </w:pPr>
    </w:p>
    <w:p w:rsidR="009B1A8D" w:rsidRPr="00005712" w:rsidRDefault="009B1A8D" w:rsidP="009B1A8D">
      <w:pPr>
        <w:pStyle w:val="Ttulo1"/>
        <w:ind w:left="426" w:hanging="426"/>
        <w:rPr>
          <w:rFonts w:ascii="Arial" w:hAnsi="Arial" w:cs="Arial"/>
          <w:sz w:val="22"/>
          <w:szCs w:val="22"/>
        </w:rPr>
      </w:pPr>
      <w:r w:rsidRPr="00005712">
        <w:rPr>
          <w:rFonts w:ascii="Arial" w:hAnsi="Arial" w:cs="Arial"/>
          <w:sz w:val="22"/>
          <w:szCs w:val="22"/>
        </w:rPr>
        <w:t>Obligaciones de los beneficiarios.</w:t>
      </w:r>
    </w:p>
    <w:p w:rsidR="009B1A8D" w:rsidRPr="00005712" w:rsidRDefault="009B1A8D" w:rsidP="009B1A8D">
      <w:pPr>
        <w:pStyle w:val="foral-f-titulo4-t8-c"/>
        <w:shd w:val="clear" w:color="auto" w:fill="FFFFFF"/>
        <w:spacing w:before="0" w:beforeAutospacing="0" w:after="0" w:afterAutospacing="0" w:line="276" w:lineRule="auto"/>
        <w:jc w:val="both"/>
        <w:rPr>
          <w:rFonts w:ascii="Arial" w:hAnsi="Arial" w:cs="Arial"/>
          <w:bCs/>
          <w:iCs/>
          <w:sz w:val="22"/>
          <w:szCs w:val="22"/>
          <w:highlight w:val="yellow"/>
        </w:rPr>
      </w:pPr>
    </w:p>
    <w:p w:rsidR="009B1A8D" w:rsidRPr="00005712" w:rsidRDefault="009B1A8D" w:rsidP="009B1A8D">
      <w:pPr>
        <w:pStyle w:val="Default"/>
        <w:numPr>
          <w:ilvl w:val="0"/>
          <w:numId w:val="12"/>
        </w:numPr>
        <w:spacing w:line="276" w:lineRule="auto"/>
        <w:ind w:left="1068"/>
        <w:jc w:val="both"/>
        <w:rPr>
          <w:color w:val="auto"/>
          <w:sz w:val="22"/>
          <w:szCs w:val="22"/>
        </w:rPr>
      </w:pPr>
      <w:r w:rsidRPr="00005712">
        <w:rPr>
          <w:color w:val="auto"/>
          <w:sz w:val="22"/>
          <w:szCs w:val="22"/>
        </w:rPr>
        <w:t>Acreditar el cumplimiento de los requisitos y condiciones que determinan la concesión y abono de la subvención.</w:t>
      </w:r>
    </w:p>
    <w:p w:rsidR="009B1A8D" w:rsidRPr="00005712" w:rsidRDefault="009B1A8D" w:rsidP="009B1A8D">
      <w:pPr>
        <w:pStyle w:val="Default"/>
        <w:spacing w:line="276" w:lineRule="auto"/>
        <w:ind w:left="1068"/>
        <w:jc w:val="both"/>
        <w:rPr>
          <w:color w:val="auto"/>
          <w:sz w:val="22"/>
          <w:szCs w:val="22"/>
        </w:rPr>
      </w:pPr>
    </w:p>
    <w:p w:rsidR="009B1A8D" w:rsidRPr="00005712" w:rsidRDefault="009B1A8D" w:rsidP="009B1A8D">
      <w:pPr>
        <w:pStyle w:val="Default"/>
        <w:numPr>
          <w:ilvl w:val="0"/>
          <w:numId w:val="12"/>
        </w:numPr>
        <w:spacing w:line="276" w:lineRule="auto"/>
        <w:ind w:left="1068"/>
        <w:jc w:val="both"/>
        <w:rPr>
          <w:color w:val="auto"/>
          <w:sz w:val="22"/>
          <w:szCs w:val="22"/>
        </w:rPr>
      </w:pPr>
      <w:r w:rsidRPr="00005712">
        <w:rPr>
          <w:color w:val="auto"/>
          <w:sz w:val="22"/>
          <w:szCs w:val="22"/>
        </w:rPr>
        <w:t>Cumplir el objetivo, acreditar la realización de la actividad y el cumplimiento de la finalidad que determinen la concesión o disfrute de la subvención.</w:t>
      </w:r>
    </w:p>
    <w:p w:rsidR="009B1A8D" w:rsidRPr="00005712" w:rsidRDefault="009B1A8D" w:rsidP="009B1A8D">
      <w:pPr>
        <w:pStyle w:val="Default"/>
        <w:spacing w:line="276" w:lineRule="auto"/>
        <w:ind w:left="1068"/>
        <w:jc w:val="both"/>
        <w:rPr>
          <w:color w:val="auto"/>
          <w:sz w:val="22"/>
          <w:szCs w:val="22"/>
        </w:rPr>
      </w:pPr>
    </w:p>
    <w:p w:rsidR="009B1A8D" w:rsidRPr="00005712" w:rsidRDefault="009B1A8D" w:rsidP="009B1A8D">
      <w:pPr>
        <w:pStyle w:val="Default"/>
        <w:numPr>
          <w:ilvl w:val="0"/>
          <w:numId w:val="12"/>
        </w:numPr>
        <w:spacing w:line="276" w:lineRule="auto"/>
        <w:ind w:left="1068"/>
        <w:jc w:val="both"/>
        <w:rPr>
          <w:color w:val="auto"/>
          <w:sz w:val="22"/>
          <w:szCs w:val="22"/>
        </w:rPr>
      </w:pPr>
      <w:r w:rsidRPr="00005712">
        <w:rPr>
          <w:color w:val="auto"/>
          <w:sz w:val="22"/>
          <w:szCs w:val="22"/>
        </w:rPr>
        <w:t>Destinar las subvenciones concedidas a los fines para los cuales se conceden.</w:t>
      </w:r>
    </w:p>
    <w:p w:rsidR="009B1A8D" w:rsidRPr="00005712" w:rsidRDefault="009B1A8D" w:rsidP="009B1A8D">
      <w:pPr>
        <w:pStyle w:val="Default"/>
        <w:spacing w:line="276" w:lineRule="auto"/>
        <w:ind w:left="1068"/>
        <w:jc w:val="both"/>
        <w:rPr>
          <w:color w:val="auto"/>
          <w:sz w:val="22"/>
          <w:szCs w:val="22"/>
        </w:rPr>
      </w:pPr>
    </w:p>
    <w:p w:rsidR="009B1A8D" w:rsidRPr="00005712" w:rsidRDefault="009B1A8D" w:rsidP="009B1A8D">
      <w:pPr>
        <w:pStyle w:val="Default"/>
        <w:numPr>
          <w:ilvl w:val="0"/>
          <w:numId w:val="12"/>
        </w:numPr>
        <w:spacing w:line="276" w:lineRule="auto"/>
        <w:ind w:left="1068"/>
        <w:jc w:val="both"/>
        <w:rPr>
          <w:color w:val="auto"/>
          <w:sz w:val="22"/>
          <w:szCs w:val="22"/>
        </w:rPr>
      </w:pPr>
      <w:r w:rsidRPr="00005712">
        <w:rPr>
          <w:color w:val="auto"/>
          <w:sz w:val="22"/>
          <w:szCs w:val="22"/>
        </w:rPr>
        <w:t>Comunicar al órgano concedente la obtención de otras subvenciones, ayudas, ingresos o recursos que financien las actividades subvencionadas. Esta comunicación deberá efectuarse tan pronto como se conozca y, en todo caso, con anterioridad a la justificación de la aplicación dada a los fondos percibidos.</w:t>
      </w:r>
    </w:p>
    <w:p w:rsidR="009B1A8D" w:rsidRPr="00005712" w:rsidRDefault="009B1A8D" w:rsidP="009B1A8D">
      <w:pPr>
        <w:pStyle w:val="Default"/>
        <w:spacing w:line="276" w:lineRule="auto"/>
        <w:ind w:left="708"/>
        <w:jc w:val="both"/>
        <w:rPr>
          <w:color w:val="auto"/>
          <w:sz w:val="22"/>
          <w:szCs w:val="22"/>
        </w:rPr>
      </w:pPr>
    </w:p>
    <w:p w:rsidR="009B1A8D" w:rsidRPr="00005712" w:rsidRDefault="009B1A8D" w:rsidP="009B1A8D">
      <w:pPr>
        <w:pStyle w:val="Default"/>
        <w:numPr>
          <w:ilvl w:val="0"/>
          <w:numId w:val="12"/>
        </w:numPr>
        <w:spacing w:line="276" w:lineRule="auto"/>
        <w:ind w:left="1068"/>
        <w:jc w:val="both"/>
        <w:rPr>
          <w:color w:val="auto"/>
          <w:sz w:val="22"/>
          <w:szCs w:val="22"/>
        </w:rPr>
      </w:pPr>
      <w:r w:rsidRPr="00005712">
        <w:rPr>
          <w:color w:val="auto"/>
          <w:sz w:val="22"/>
          <w:szCs w:val="22"/>
        </w:rPr>
        <w:t>Disponer de los libros contables, registros diligenciados y demás documentos debidamente auditados en los términos exigidos por la legislación mercantil y sectorial aplicable al beneficiario en cada caso, con la finalidad de garantizar el adecuado ejercicio de las facultades de comprobación y control.</w:t>
      </w:r>
    </w:p>
    <w:p w:rsidR="009B1A8D" w:rsidRPr="00005712" w:rsidRDefault="009B1A8D" w:rsidP="009B1A8D">
      <w:pPr>
        <w:pStyle w:val="Default"/>
        <w:spacing w:line="276" w:lineRule="auto"/>
        <w:ind w:left="1068"/>
        <w:jc w:val="both"/>
        <w:rPr>
          <w:color w:val="auto"/>
          <w:sz w:val="22"/>
          <w:szCs w:val="22"/>
        </w:rPr>
      </w:pPr>
    </w:p>
    <w:p w:rsidR="009B1A8D" w:rsidRPr="00005712" w:rsidRDefault="009B1A8D" w:rsidP="009B1A8D">
      <w:pPr>
        <w:pStyle w:val="Default"/>
        <w:numPr>
          <w:ilvl w:val="0"/>
          <w:numId w:val="12"/>
        </w:numPr>
        <w:spacing w:line="276" w:lineRule="auto"/>
        <w:ind w:left="1068"/>
        <w:jc w:val="both"/>
        <w:rPr>
          <w:color w:val="auto"/>
          <w:sz w:val="22"/>
          <w:szCs w:val="22"/>
        </w:rPr>
      </w:pPr>
      <w:r w:rsidRPr="00005712">
        <w:rPr>
          <w:color w:val="auto"/>
          <w:sz w:val="22"/>
          <w:szCs w:val="22"/>
        </w:rPr>
        <w:t>Conservar los documentos justificativos de la aplicación de los fondos recibidos, incluidos los documentos electrónicos, en tanto puedan ser objeto de las actuaciones de comprobación y control.</w:t>
      </w:r>
    </w:p>
    <w:p w:rsidR="009B1A8D" w:rsidRPr="00005712" w:rsidRDefault="009B1A8D" w:rsidP="009B1A8D">
      <w:pPr>
        <w:pStyle w:val="Default"/>
        <w:spacing w:line="276" w:lineRule="auto"/>
        <w:ind w:left="1068"/>
        <w:jc w:val="both"/>
        <w:rPr>
          <w:color w:val="auto"/>
          <w:sz w:val="22"/>
          <w:szCs w:val="22"/>
        </w:rPr>
      </w:pPr>
    </w:p>
    <w:p w:rsidR="009B1A8D" w:rsidRPr="00005712" w:rsidRDefault="009B1A8D" w:rsidP="009B1A8D">
      <w:pPr>
        <w:pStyle w:val="Default"/>
        <w:numPr>
          <w:ilvl w:val="0"/>
          <w:numId w:val="12"/>
        </w:numPr>
        <w:spacing w:line="276" w:lineRule="auto"/>
        <w:ind w:left="1068"/>
        <w:jc w:val="both"/>
        <w:rPr>
          <w:color w:val="auto"/>
          <w:sz w:val="22"/>
          <w:szCs w:val="22"/>
        </w:rPr>
      </w:pPr>
      <w:r w:rsidRPr="00005712">
        <w:rPr>
          <w:color w:val="auto"/>
          <w:sz w:val="22"/>
          <w:szCs w:val="22"/>
        </w:rPr>
        <w:t>Someterse a las actuaciones de comprobación, a efectuar por el órgano concedente, así como cualesquiera otras de comprobación y control financiero que puedan realizar los órganos de control competentes, aportando cuanta información le sea requerida en el ejercicio de las actuaciones anteriores.</w:t>
      </w:r>
    </w:p>
    <w:p w:rsidR="009B1A8D" w:rsidRPr="00005712" w:rsidRDefault="009B1A8D" w:rsidP="009B1A8D">
      <w:pPr>
        <w:pStyle w:val="Default"/>
        <w:spacing w:line="276" w:lineRule="auto"/>
        <w:ind w:left="1068"/>
        <w:jc w:val="both"/>
        <w:rPr>
          <w:color w:val="auto"/>
          <w:sz w:val="22"/>
          <w:szCs w:val="22"/>
        </w:rPr>
      </w:pPr>
    </w:p>
    <w:p w:rsidR="009B1A8D" w:rsidRPr="00005712" w:rsidRDefault="009B1A8D" w:rsidP="009B1A8D">
      <w:pPr>
        <w:pStyle w:val="Default"/>
        <w:numPr>
          <w:ilvl w:val="0"/>
          <w:numId w:val="12"/>
        </w:numPr>
        <w:spacing w:line="276" w:lineRule="auto"/>
        <w:ind w:left="1068"/>
        <w:jc w:val="both"/>
        <w:rPr>
          <w:color w:val="auto"/>
          <w:sz w:val="22"/>
          <w:szCs w:val="22"/>
        </w:rPr>
      </w:pPr>
      <w:r w:rsidRPr="00005712">
        <w:rPr>
          <w:color w:val="auto"/>
          <w:sz w:val="22"/>
          <w:szCs w:val="22"/>
        </w:rPr>
        <w:t>Encontrarse al corriente en el cumplimiento de sus obligaciones tributarias y frente a la Seguridad Social, y en su caso, en el pago de obligaciones por reintegro de deudas a favor de la Administración de la Comunidad Foral de Navarra o de sus Organismos Autónomos.</w:t>
      </w:r>
    </w:p>
    <w:p w:rsidR="009B1A8D" w:rsidRPr="00005712" w:rsidRDefault="009B1A8D" w:rsidP="009B1A8D">
      <w:pPr>
        <w:pStyle w:val="Default"/>
        <w:spacing w:line="276" w:lineRule="auto"/>
        <w:ind w:left="1068"/>
        <w:jc w:val="both"/>
        <w:rPr>
          <w:color w:val="auto"/>
          <w:sz w:val="22"/>
          <w:szCs w:val="22"/>
        </w:rPr>
      </w:pPr>
    </w:p>
    <w:p w:rsidR="009B1A8D" w:rsidRPr="00005712" w:rsidRDefault="009B1A8D" w:rsidP="009B1A8D">
      <w:pPr>
        <w:pStyle w:val="Default"/>
        <w:numPr>
          <w:ilvl w:val="0"/>
          <w:numId w:val="12"/>
        </w:numPr>
        <w:spacing w:line="276" w:lineRule="auto"/>
        <w:ind w:left="1068"/>
        <w:jc w:val="both"/>
        <w:rPr>
          <w:color w:val="auto"/>
          <w:sz w:val="22"/>
          <w:szCs w:val="22"/>
        </w:rPr>
      </w:pPr>
      <w:r w:rsidRPr="00005712">
        <w:rPr>
          <w:color w:val="auto"/>
          <w:sz w:val="22"/>
          <w:szCs w:val="22"/>
        </w:rPr>
        <w:t xml:space="preserve">Adoptar las medidas de difusión contenidas en </w:t>
      </w:r>
      <w:r>
        <w:rPr>
          <w:color w:val="auto"/>
          <w:sz w:val="22"/>
          <w:szCs w:val="22"/>
        </w:rPr>
        <w:t>la base</w:t>
      </w:r>
      <w:r w:rsidRPr="00005712">
        <w:rPr>
          <w:color w:val="auto"/>
          <w:sz w:val="22"/>
          <w:szCs w:val="22"/>
        </w:rPr>
        <w:t xml:space="preserve"> 14</w:t>
      </w:r>
      <w:r>
        <w:rPr>
          <w:color w:val="auto"/>
          <w:sz w:val="22"/>
          <w:szCs w:val="22"/>
        </w:rPr>
        <w:t>ª</w:t>
      </w:r>
      <w:r w:rsidRPr="00005712">
        <w:rPr>
          <w:color w:val="auto"/>
          <w:sz w:val="22"/>
          <w:szCs w:val="22"/>
        </w:rPr>
        <w:t>.</w:t>
      </w:r>
    </w:p>
    <w:p w:rsidR="009B1A8D" w:rsidRPr="00005712" w:rsidRDefault="009B1A8D" w:rsidP="009B1A8D">
      <w:pPr>
        <w:pStyle w:val="Default"/>
        <w:spacing w:line="276" w:lineRule="auto"/>
        <w:ind w:left="1068"/>
        <w:jc w:val="both"/>
        <w:rPr>
          <w:color w:val="auto"/>
          <w:sz w:val="22"/>
          <w:szCs w:val="22"/>
        </w:rPr>
      </w:pPr>
    </w:p>
    <w:p w:rsidR="009B1A8D" w:rsidRPr="00005712" w:rsidRDefault="009B1A8D" w:rsidP="009B1A8D">
      <w:pPr>
        <w:pStyle w:val="Default"/>
        <w:numPr>
          <w:ilvl w:val="0"/>
          <w:numId w:val="12"/>
        </w:numPr>
        <w:spacing w:line="276" w:lineRule="auto"/>
        <w:ind w:left="1068"/>
        <w:jc w:val="both"/>
        <w:rPr>
          <w:color w:val="auto"/>
          <w:sz w:val="22"/>
          <w:szCs w:val="22"/>
        </w:rPr>
      </w:pPr>
      <w:r w:rsidRPr="00005712">
        <w:rPr>
          <w:color w:val="auto"/>
          <w:sz w:val="22"/>
          <w:szCs w:val="22"/>
        </w:rPr>
        <w:t>Proceder al reintegro de los fondos percibidos en los supuesto contemplados en el artículo 35 de la Ley Foral 11/2005, de 9 de noviembre, de Subvenciones y en la Base Decimosexta de la presente convocatoria.</w:t>
      </w:r>
    </w:p>
    <w:p w:rsidR="009B1A8D" w:rsidRPr="00005712" w:rsidRDefault="009B1A8D" w:rsidP="009B1A8D">
      <w:pPr>
        <w:pStyle w:val="Prrafodelista"/>
        <w:rPr>
          <w:rFonts w:cs="Arial"/>
        </w:rPr>
      </w:pPr>
    </w:p>
    <w:p w:rsidR="009B1A8D" w:rsidRPr="00005712" w:rsidRDefault="009B1A8D" w:rsidP="009B1A8D">
      <w:pPr>
        <w:pStyle w:val="Ttulo1"/>
        <w:ind w:left="426" w:hanging="426"/>
        <w:rPr>
          <w:rFonts w:ascii="Arial" w:hAnsi="Arial" w:cs="Arial"/>
          <w:sz w:val="22"/>
          <w:szCs w:val="22"/>
        </w:rPr>
      </w:pPr>
      <w:r w:rsidRPr="00005712">
        <w:rPr>
          <w:rFonts w:ascii="Arial" w:hAnsi="Arial" w:cs="Arial"/>
          <w:sz w:val="22"/>
          <w:szCs w:val="22"/>
        </w:rPr>
        <w:t>Publicidad de las subvenciones concedidas.</w:t>
      </w:r>
    </w:p>
    <w:p w:rsidR="009B1A8D" w:rsidRPr="00005712" w:rsidRDefault="009B1A8D" w:rsidP="009B1A8D">
      <w:pPr>
        <w:pStyle w:val="foral-f-titulo4-t8-c"/>
        <w:shd w:val="clear" w:color="auto" w:fill="FFFFFF"/>
        <w:spacing w:before="0" w:beforeAutospacing="0" w:after="0" w:afterAutospacing="0" w:line="276" w:lineRule="auto"/>
        <w:jc w:val="both"/>
        <w:rPr>
          <w:rFonts w:ascii="Arial" w:hAnsi="Arial" w:cs="Arial"/>
          <w:bCs/>
          <w:iCs/>
          <w:sz w:val="22"/>
          <w:szCs w:val="22"/>
        </w:rPr>
      </w:pPr>
    </w:p>
    <w:p w:rsidR="009B1A8D" w:rsidRPr="00005712" w:rsidRDefault="009B1A8D" w:rsidP="009B1A8D">
      <w:pPr>
        <w:pStyle w:val="Default"/>
        <w:numPr>
          <w:ilvl w:val="1"/>
          <w:numId w:val="18"/>
        </w:numPr>
        <w:spacing w:line="276" w:lineRule="auto"/>
        <w:ind w:left="709" w:hanging="709"/>
        <w:jc w:val="both"/>
        <w:rPr>
          <w:color w:val="auto"/>
          <w:sz w:val="22"/>
          <w:szCs w:val="22"/>
        </w:rPr>
      </w:pPr>
      <w:r w:rsidRPr="00005712">
        <w:rPr>
          <w:color w:val="auto"/>
          <w:sz w:val="22"/>
          <w:szCs w:val="22"/>
        </w:rPr>
        <w:t>Los beneficiarios de las subvenciones, deberán hacer público el origen de la subvención en cuanta difusión y publicidad del proyecto se haga. En el caso de difusión escrita o gráfica</w:t>
      </w:r>
      <w:r>
        <w:rPr>
          <w:color w:val="auto"/>
          <w:sz w:val="22"/>
          <w:szCs w:val="22"/>
        </w:rPr>
        <w:t>,</w:t>
      </w:r>
      <w:r w:rsidRPr="00005712">
        <w:rPr>
          <w:color w:val="auto"/>
          <w:sz w:val="22"/>
          <w:szCs w:val="22"/>
        </w:rPr>
        <w:t xml:space="preserve"> se deberá utilizar el logotipo del Gobierno de Navarra, en los términos señalados en el Decreto Foral 4/2016, de 27 de enero, por el que se regula el símbolo oficial del Gobierno de Navarra y su utilización, que deberá figurar con el mismo tamaño y en iguales condiciones de visibilidad que el de los beneficiarios de la subvención.</w:t>
      </w:r>
    </w:p>
    <w:p w:rsidR="009B1A8D" w:rsidRPr="00005712" w:rsidRDefault="009B1A8D" w:rsidP="009B1A8D">
      <w:pPr>
        <w:pStyle w:val="Default"/>
        <w:spacing w:line="276" w:lineRule="auto"/>
        <w:ind w:left="708"/>
        <w:jc w:val="both"/>
        <w:rPr>
          <w:color w:val="auto"/>
          <w:sz w:val="22"/>
          <w:szCs w:val="22"/>
        </w:rPr>
      </w:pPr>
    </w:p>
    <w:p w:rsidR="009B1A8D" w:rsidRPr="00005712" w:rsidRDefault="009B1A8D" w:rsidP="009B1A8D">
      <w:pPr>
        <w:pStyle w:val="Default"/>
        <w:numPr>
          <w:ilvl w:val="1"/>
          <w:numId w:val="18"/>
        </w:numPr>
        <w:spacing w:line="276" w:lineRule="auto"/>
        <w:ind w:left="709" w:hanging="709"/>
        <w:jc w:val="both"/>
        <w:rPr>
          <w:color w:val="auto"/>
          <w:sz w:val="22"/>
          <w:szCs w:val="22"/>
        </w:rPr>
      </w:pPr>
      <w:r w:rsidRPr="00005712">
        <w:rPr>
          <w:color w:val="auto"/>
          <w:sz w:val="22"/>
          <w:szCs w:val="22"/>
        </w:rPr>
        <w:t>La publicidad del carácter público de la financiación se realizará incluyendo el logotipo oficial del Gobierno de Navarra, al menos, en la información de la página web municipal y/o en las sesiones de participación y comunicación que se realice, en su caso.</w:t>
      </w:r>
    </w:p>
    <w:p w:rsidR="009B1A8D" w:rsidRPr="00005712" w:rsidRDefault="009B1A8D" w:rsidP="009B1A8D">
      <w:pPr>
        <w:pStyle w:val="Prrafodelista"/>
        <w:ind w:left="0"/>
        <w:rPr>
          <w:rFonts w:cs="Arial"/>
        </w:rPr>
      </w:pPr>
    </w:p>
    <w:p w:rsidR="009B1A8D" w:rsidRPr="00005712" w:rsidRDefault="009B1A8D" w:rsidP="009B1A8D">
      <w:pPr>
        <w:pStyle w:val="Ttulo1"/>
        <w:ind w:left="426" w:hanging="426"/>
        <w:rPr>
          <w:rFonts w:ascii="Arial" w:hAnsi="Arial" w:cs="Arial"/>
          <w:sz w:val="22"/>
          <w:szCs w:val="22"/>
        </w:rPr>
      </w:pPr>
      <w:r w:rsidRPr="00005712">
        <w:rPr>
          <w:rFonts w:ascii="Arial" w:hAnsi="Arial" w:cs="Arial"/>
          <w:sz w:val="22"/>
          <w:szCs w:val="22"/>
        </w:rPr>
        <w:t>Incumplimiento y reintegro de las subvenciones.</w:t>
      </w:r>
    </w:p>
    <w:p w:rsidR="009B1A8D" w:rsidRPr="00005712" w:rsidRDefault="009B1A8D" w:rsidP="009B1A8D">
      <w:pPr>
        <w:pStyle w:val="foral-f-titulo4-t8-c"/>
        <w:shd w:val="clear" w:color="auto" w:fill="FFFFFF"/>
        <w:spacing w:before="0" w:beforeAutospacing="0" w:after="0" w:afterAutospacing="0" w:line="276" w:lineRule="auto"/>
        <w:rPr>
          <w:rFonts w:ascii="Arial" w:hAnsi="Arial" w:cs="Arial"/>
          <w:b/>
          <w:bCs/>
          <w:i/>
          <w:iCs/>
          <w:sz w:val="22"/>
          <w:szCs w:val="22"/>
        </w:rPr>
      </w:pPr>
    </w:p>
    <w:p w:rsidR="009B1A8D" w:rsidRPr="00005712" w:rsidRDefault="009B1A8D" w:rsidP="009B1A8D">
      <w:pPr>
        <w:pStyle w:val="Default"/>
        <w:numPr>
          <w:ilvl w:val="1"/>
          <w:numId w:val="20"/>
        </w:numPr>
        <w:spacing w:line="276" w:lineRule="auto"/>
        <w:ind w:left="709" w:hanging="709"/>
        <w:jc w:val="both"/>
        <w:rPr>
          <w:color w:val="auto"/>
          <w:sz w:val="22"/>
          <w:szCs w:val="22"/>
        </w:rPr>
      </w:pPr>
      <w:r w:rsidRPr="00005712">
        <w:rPr>
          <w:color w:val="auto"/>
          <w:sz w:val="22"/>
          <w:szCs w:val="22"/>
        </w:rPr>
        <w:t>El incumplimiento de lo establecido en las bases de la presente convocatoria, o la falsedad de los datos aportados, dará lugar a la pérdida de la subvención y al reintegro de las cantidades que hubieran sido percibidas, pudiendo suponer la inadmisión de las posteriores solicitudes de subvención con idéntica o similar finalidad, sin perjuicio de las demás responsabilidades previstas en el ordenamiento jurídico.</w:t>
      </w:r>
    </w:p>
    <w:p w:rsidR="009B1A8D" w:rsidRPr="00005712" w:rsidRDefault="009B1A8D" w:rsidP="009B1A8D">
      <w:pPr>
        <w:pStyle w:val="Default"/>
        <w:spacing w:line="276" w:lineRule="auto"/>
        <w:ind w:left="709"/>
        <w:jc w:val="both"/>
        <w:rPr>
          <w:color w:val="auto"/>
          <w:sz w:val="22"/>
          <w:szCs w:val="22"/>
        </w:rPr>
      </w:pPr>
    </w:p>
    <w:p w:rsidR="009B1A8D" w:rsidRPr="00005712" w:rsidRDefault="009B1A8D" w:rsidP="009B1A8D">
      <w:pPr>
        <w:pStyle w:val="Default"/>
        <w:numPr>
          <w:ilvl w:val="1"/>
          <w:numId w:val="20"/>
        </w:numPr>
        <w:spacing w:line="276" w:lineRule="auto"/>
        <w:ind w:left="709" w:hanging="709"/>
        <w:jc w:val="both"/>
        <w:rPr>
          <w:color w:val="auto"/>
          <w:sz w:val="22"/>
          <w:szCs w:val="22"/>
        </w:rPr>
      </w:pPr>
      <w:r w:rsidRPr="00005712">
        <w:rPr>
          <w:color w:val="auto"/>
          <w:sz w:val="22"/>
          <w:szCs w:val="22"/>
        </w:rPr>
        <w:lastRenderedPageBreak/>
        <w:t>El reintegro de las cantidades percibidas también tendrá lugar en los supuestos y conforme al procedimiento previsto en el artículo 35 de la Ley Foral 11/2005, de 9 de noviembre, de Subvenciones.</w:t>
      </w:r>
    </w:p>
    <w:p w:rsidR="009B1A8D" w:rsidRPr="00005712" w:rsidRDefault="009B1A8D" w:rsidP="009B1A8D">
      <w:pPr>
        <w:pStyle w:val="Default"/>
        <w:spacing w:line="276" w:lineRule="auto"/>
        <w:ind w:left="709"/>
        <w:jc w:val="both"/>
        <w:rPr>
          <w:color w:val="auto"/>
          <w:sz w:val="22"/>
          <w:szCs w:val="22"/>
        </w:rPr>
      </w:pPr>
    </w:p>
    <w:p w:rsidR="009B1A8D" w:rsidRPr="00005712" w:rsidRDefault="009B1A8D" w:rsidP="009B1A8D">
      <w:pPr>
        <w:pStyle w:val="Default"/>
        <w:numPr>
          <w:ilvl w:val="1"/>
          <w:numId w:val="20"/>
        </w:numPr>
        <w:spacing w:line="276" w:lineRule="auto"/>
        <w:ind w:left="709" w:hanging="709"/>
        <w:jc w:val="both"/>
        <w:rPr>
          <w:color w:val="auto"/>
          <w:sz w:val="22"/>
          <w:szCs w:val="22"/>
        </w:rPr>
      </w:pPr>
      <w:r w:rsidRPr="00005712">
        <w:rPr>
          <w:color w:val="auto"/>
          <w:sz w:val="22"/>
          <w:szCs w:val="22"/>
        </w:rPr>
        <w:t>En los casos legalmente previstos, procederá, además, la exigencia del interés de demora correspondiente, desde la fecha de pago de la subvención y hasta la fecha que se acuerde la procedencia del reintegro.</w:t>
      </w:r>
    </w:p>
    <w:p w:rsidR="009B1A8D" w:rsidRPr="00005712" w:rsidRDefault="009B1A8D" w:rsidP="009B1A8D">
      <w:pPr>
        <w:pStyle w:val="Prrafodelista"/>
        <w:rPr>
          <w:rFonts w:cs="Arial"/>
        </w:rPr>
      </w:pPr>
    </w:p>
    <w:p w:rsidR="009B1A8D" w:rsidRPr="00005712" w:rsidRDefault="009B1A8D" w:rsidP="009B1A8D">
      <w:pPr>
        <w:pStyle w:val="Ttulo1"/>
        <w:ind w:left="426" w:hanging="426"/>
        <w:rPr>
          <w:rFonts w:ascii="Arial" w:hAnsi="Arial" w:cs="Arial"/>
          <w:sz w:val="22"/>
          <w:szCs w:val="22"/>
        </w:rPr>
      </w:pPr>
      <w:r w:rsidRPr="00005712">
        <w:rPr>
          <w:rFonts w:ascii="Arial" w:hAnsi="Arial" w:cs="Arial"/>
          <w:sz w:val="22"/>
          <w:szCs w:val="22"/>
        </w:rPr>
        <w:t xml:space="preserve">Protección de datos de carácter personal. </w:t>
      </w:r>
    </w:p>
    <w:p w:rsidR="009B1A8D" w:rsidRPr="00005712" w:rsidRDefault="009B1A8D" w:rsidP="009B1A8D">
      <w:pPr>
        <w:pStyle w:val="foral-f-titulo4-t8-c"/>
        <w:shd w:val="clear" w:color="auto" w:fill="FFFFFF"/>
        <w:spacing w:before="0" w:beforeAutospacing="0" w:after="0" w:afterAutospacing="0" w:line="276" w:lineRule="auto"/>
        <w:jc w:val="both"/>
        <w:rPr>
          <w:rFonts w:ascii="Arial" w:hAnsi="Arial" w:cs="Arial"/>
          <w:bCs/>
          <w:iCs/>
          <w:sz w:val="22"/>
          <w:szCs w:val="22"/>
        </w:rPr>
      </w:pPr>
    </w:p>
    <w:p w:rsidR="009B1A8D" w:rsidRPr="00005712" w:rsidRDefault="009B1A8D" w:rsidP="009B1A8D">
      <w:pPr>
        <w:pStyle w:val="Default"/>
        <w:spacing w:line="276" w:lineRule="auto"/>
        <w:ind w:left="708"/>
        <w:jc w:val="both"/>
        <w:rPr>
          <w:color w:val="auto"/>
          <w:sz w:val="22"/>
          <w:szCs w:val="22"/>
        </w:rPr>
      </w:pPr>
      <w:r w:rsidRPr="00005712">
        <w:rPr>
          <w:color w:val="auto"/>
          <w:sz w:val="22"/>
          <w:szCs w:val="22"/>
        </w:rPr>
        <w:t>El tratamiento de datos personales derivado de la gestión y tramitación de esta convocatoria se realizará conforme al Reglamento (UE) 2016/679 General de Protección de Datos (RGPD), y la Ley Orgánica 3/2018, de 5 de diciembre, de Protección de Datos Personales y garantía de los derechos digitales y del resto de normativa vigente en la materia.</w:t>
      </w:r>
    </w:p>
    <w:p w:rsidR="009B1A8D" w:rsidRPr="00005712" w:rsidRDefault="009B1A8D" w:rsidP="009B1A8D">
      <w:pPr>
        <w:pStyle w:val="Prrafodelista"/>
        <w:rPr>
          <w:rFonts w:cs="Arial"/>
        </w:rPr>
      </w:pPr>
    </w:p>
    <w:p w:rsidR="009B1A8D" w:rsidRPr="00005712" w:rsidRDefault="009B1A8D" w:rsidP="009B1A8D">
      <w:pPr>
        <w:pStyle w:val="Ttulo1"/>
        <w:ind w:left="426" w:hanging="426"/>
        <w:rPr>
          <w:rFonts w:ascii="Arial" w:hAnsi="Arial" w:cs="Arial"/>
          <w:sz w:val="22"/>
          <w:szCs w:val="22"/>
        </w:rPr>
      </w:pPr>
      <w:r w:rsidRPr="00005712">
        <w:rPr>
          <w:rFonts w:ascii="Arial" w:hAnsi="Arial" w:cs="Arial"/>
          <w:sz w:val="22"/>
          <w:szCs w:val="22"/>
        </w:rPr>
        <w:t>Infracciones y sanciones</w:t>
      </w:r>
    </w:p>
    <w:p w:rsidR="009B1A8D" w:rsidRPr="00005712" w:rsidRDefault="009B1A8D" w:rsidP="009B1A8D">
      <w:pPr>
        <w:pStyle w:val="foral-f-titulo4-t8-c"/>
        <w:shd w:val="clear" w:color="auto" w:fill="FFFFFF"/>
        <w:spacing w:before="0" w:beforeAutospacing="0" w:after="0" w:afterAutospacing="0" w:line="276" w:lineRule="auto"/>
        <w:jc w:val="both"/>
        <w:rPr>
          <w:rFonts w:ascii="Arial" w:hAnsi="Arial" w:cs="Arial"/>
          <w:b/>
          <w:bCs/>
          <w:i/>
          <w:iCs/>
          <w:sz w:val="22"/>
          <w:szCs w:val="22"/>
        </w:rPr>
      </w:pPr>
    </w:p>
    <w:p w:rsidR="009B1A8D" w:rsidRPr="00005712" w:rsidRDefault="009B1A8D" w:rsidP="009B1A8D">
      <w:pPr>
        <w:pStyle w:val="Default"/>
        <w:spacing w:line="276" w:lineRule="auto"/>
        <w:ind w:left="708"/>
        <w:jc w:val="both"/>
        <w:rPr>
          <w:color w:val="auto"/>
          <w:sz w:val="22"/>
          <w:szCs w:val="22"/>
        </w:rPr>
      </w:pPr>
      <w:r w:rsidRPr="00005712">
        <w:rPr>
          <w:color w:val="auto"/>
          <w:sz w:val="22"/>
          <w:szCs w:val="22"/>
        </w:rPr>
        <w:t>En materia de infracciones y sanciones se estará a lo establecido en los artículos 42 y siguientes de la Ley Foral 11/2005, de 9 de noviembre, de subvenciones.</w:t>
      </w:r>
    </w:p>
    <w:p w:rsidR="009B1A8D" w:rsidRPr="00005712" w:rsidRDefault="009B1A8D" w:rsidP="009B1A8D">
      <w:pPr>
        <w:pStyle w:val="Prrafodelista"/>
        <w:rPr>
          <w:rFonts w:cs="Arial"/>
        </w:rPr>
      </w:pPr>
    </w:p>
    <w:p w:rsidR="009B1A8D" w:rsidRPr="00005712" w:rsidRDefault="009B1A8D" w:rsidP="009B1A8D">
      <w:pPr>
        <w:pStyle w:val="Ttulo1"/>
        <w:ind w:left="426" w:hanging="426"/>
        <w:rPr>
          <w:rFonts w:ascii="Arial" w:hAnsi="Arial" w:cs="Arial"/>
          <w:sz w:val="22"/>
          <w:szCs w:val="22"/>
        </w:rPr>
      </w:pPr>
      <w:r w:rsidRPr="00005712">
        <w:rPr>
          <w:rFonts w:ascii="Arial" w:hAnsi="Arial" w:cs="Arial"/>
          <w:sz w:val="22"/>
          <w:szCs w:val="22"/>
        </w:rPr>
        <w:t>Recursos.</w:t>
      </w:r>
    </w:p>
    <w:p w:rsidR="009B1A8D" w:rsidRPr="00005712" w:rsidRDefault="009B1A8D" w:rsidP="009B1A8D">
      <w:pPr>
        <w:pStyle w:val="foral-f-titulo4-t8-c"/>
        <w:shd w:val="clear" w:color="auto" w:fill="FFFFFF"/>
        <w:spacing w:before="0" w:beforeAutospacing="0" w:after="0" w:afterAutospacing="0" w:line="276" w:lineRule="auto"/>
        <w:jc w:val="both"/>
        <w:rPr>
          <w:rFonts w:ascii="Arial" w:hAnsi="Arial" w:cs="Arial"/>
          <w:bCs/>
          <w:iCs/>
          <w:sz w:val="22"/>
          <w:szCs w:val="22"/>
        </w:rPr>
      </w:pPr>
    </w:p>
    <w:p w:rsidR="009B1A8D" w:rsidRPr="00005712" w:rsidRDefault="009B1A8D" w:rsidP="009B1A8D">
      <w:pPr>
        <w:pStyle w:val="Default"/>
        <w:numPr>
          <w:ilvl w:val="1"/>
          <w:numId w:val="21"/>
        </w:numPr>
        <w:spacing w:line="276" w:lineRule="auto"/>
        <w:ind w:left="709" w:hanging="709"/>
        <w:jc w:val="both"/>
        <w:rPr>
          <w:color w:val="auto"/>
          <w:sz w:val="22"/>
          <w:szCs w:val="22"/>
        </w:rPr>
      </w:pPr>
      <w:r w:rsidRPr="00005712">
        <w:rPr>
          <w:color w:val="auto"/>
          <w:sz w:val="22"/>
          <w:szCs w:val="22"/>
        </w:rPr>
        <w:t xml:space="preserve">Contra esta convocatoria y sus bases podrá interponerse Recurso de Alzada ante el Consejero de Cohesión Territorial, en el plazo de un mes, contado a partir del día siguiente al de su publicación en el Boletín Oficial de Navarra, de conformidad con los artículos 121 y 122 de la Ley 39/2015, de 1 de octubre, del Procedimiento Administrativo Común de las Administraciones Públicas. </w:t>
      </w:r>
    </w:p>
    <w:p w:rsidR="009B1A8D" w:rsidRPr="00005712" w:rsidRDefault="009B1A8D" w:rsidP="009B1A8D">
      <w:pPr>
        <w:pStyle w:val="Default"/>
        <w:spacing w:line="276" w:lineRule="auto"/>
        <w:ind w:left="709"/>
        <w:jc w:val="both"/>
        <w:rPr>
          <w:color w:val="auto"/>
          <w:sz w:val="22"/>
          <w:szCs w:val="22"/>
        </w:rPr>
      </w:pPr>
    </w:p>
    <w:p w:rsidR="009B1A8D" w:rsidRPr="00005712" w:rsidRDefault="009B1A8D" w:rsidP="009B1A8D">
      <w:pPr>
        <w:pStyle w:val="Default"/>
        <w:numPr>
          <w:ilvl w:val="1"/>
          <w:numId w:val="21"/>
        </w:numPr>
        <w:spacing w:line="276" w:lineRule="auto"/>
        <w:ind w:left="709" w:hanging="709"/>
        <w:jc w:val="both"/>
        <w:rPr>
          <w:color w:val="auto"/>
          <w:sz w:val="22"/>
          <w:szCs w:val="22"/>
        </w:rPr>
      </w:pPr>
      <w:r w:rsidRPr="00005712">
        <w:rPr>
          <w:color w:val="auto"/>
          <w:sz w:val="22"/>
          <w:szCs w:val="22"/>
        </w:rPr>
        <w:t>Asimismo, contra los actos de aplicación de esta Convocatoria adoptados por Resolución de la Dirección General competente en materia de ordenación del territorio y urbanismo, cabrá interponer recurso de alzada ante el Consejero de Cohesión Territorial, en el plazo de un mes contado a partir del día siguiente al de su notificación.</w:t>
      </w:r>
    </w:p>
    <w:p w:rsidR="009B1A8D" w:rsidRPr="00005712" w:rsidRDefault="009B1A8D" w:rsidP="009B1A8D">
      <w:pPr>
        <w:pStyle w:val="foral-f-titulo4-t8-c"/>
        <w:shd w:val="clear" w:color="auto" w:fill="FFFFFF"/>
        <w:spacing w:before="0" w:beforeAutospacing="0" w:after="0" w:afterAutospacing="0" w:line="276" w:lineRule="auto"/>
        <w:jc w:val="both"/>
        <w:rPr>
          <w:rFonts w:ascii="Arial" w:hAnsi="Arial" w:cs="Arial"/>
          <w:sz w:val="22"/>
          <w:szCs w:val="22"/>
          <w:highlight w:val="yellow"/>
        </w:rPr>
      </w:pPr>
    </w:p>
    <w:p w:rsidR="009B1A8D" w:rsidRPr="00005712" w:rsidRDefault="009B1A8D" w:rsidP="009B1A8D">
      <w:pPr>
        <w:pStyle w:val="foral-f-titulo4-t8-c"/>
        <w:shd w:val="clear" w:color="auto" w:fill="FFFFFF"/>
        <w:spacing w:before="0" w:beforeAutospacing="0" w:after="0" w:afterAutospacing="0" w:line="276" w:lineRule="auto"/>
        <w:jc w:val="both"/>
        <w:rPr>
          <w:rFonts w:ascii="Arial" w:hAnsi="Arial" w:cs="Arial"/>
          <w:sz w:val="22"/>
          <w:szCs w:val="22"/>
        </w:rPr>
      </w:pPr>
    </w:p>
    <w:sectPr w:rsidR="009B1A8D" w:rsidRPr="00005712" w:rsidSect="009B1A8D">
      <w:headerReference w:type="default" r:id="rId8"/>
      <w:pgSz w:w="11906" w:h="16838" w:code="9"/>
      <w:pgMar w:top="2268" w:right="1276" w:bottom="1797" w:left="1276" w:header="709" w:footer="9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BBC" w:rsidRDefault="00310BBC">
      <w:r>
        <w:separator/>
      </w:r>
    </w:p>
  </w:endnote>
  <w:endnote w:type="continuationSeparator" w:id="0">
    <w:p w:rsidR="00310BBC" w:rsidRDefault="00310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BBC" w:rsidRDefault="00310BBC">
      <w:r>
        <w:separator/>
      </w:r>
    </w:p>
  </w:footnote>
  <w:footnote w:type="continuationSeparator" w:id="0">
    <w:p w:rsidR="00310BBC" w:rsidRDefault="00310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359" w:rsidRPr="00D11428" w:rsidRDefault="002A5156" w:rsidP="007E6A58">
    <w:pPr>
      <w:pStyle w:val="Encabezado"/>
    </w:pPr>
    <w:r>
      <w:rPr>
        <w:noProof/>
      </w:rPr>
      <w:drawing>
        <wp:inline distT="0" distB="0" distL="0" distR="0">
          <wp:extent cx="3686175" cy="3143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6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51C3E"/>
    <w:multiLevelType w:val="singleLevel"/>
    <w:tmpl w:val="0C0A000F"/>
    <w:lvl w:ilvl="0">
      <w:start w:val="1"/>
      <w:numFmt w:val="decimal"/>
      <w:lvlText w:val="%1."/>
      <w:lvlJc w:val="left"/>
      <w:pPr>
        <w:ind w:left="720" w:hanging="360"/>
      </w:pPr>
    </w:lvl>
  </w:abstractNum>
  <w:abstractNum w:abstractNumId="2" w15:restartNumberingAfterBreak="0">
    <w:nsid w:val="1A3A4DD6"/>
    <w:multiLevelType w:val="hybridMultilevel"/>
    <w:tmpl w:val="ACA60514"/>
    <w:lvl w:ilvl="0" w:tplc="E33C0E36">
      <w:start w:val="1"/>
      <w:numFmt w:val="lowerLetter"/>
      <w:lvlText w:val="%1)"/>
      <w:lvlJc w:val="left"/>
      <w:pPr>
        <w:ind w:left="1163" w:hanging="360"/>
      </w:pPr>
      <w:rPr>
        <w:rFonts w:hint="default"/>
      </w:rPr>
    </w:lvl>
    <w:lvl w:ilvl="1" w:tplc="0C0A0019">
      <w:start w:val="1"/>
      <w:numFmt w:val="lowerLetter"/>
      <w:lvlText w:val="%2."/>
      <w:lvlJc w:val="left"/>
      <w:pPr>
        <w:ind w:left="1883" w:hanging="360"/>
      </w:pPr>
    </w:lvl>
    <w:lvl w:ilvl="2" w:tplc="0C0A001B" w:tentative="1">
      <w:start w:val="1"/>
      <w:numFmt w:val="lowerRoman"/>
      <w:lvlText w:val="%3."/>
      <w:lvlJc w:val="right"/>
      <w:pPr>
        <w:ind w:left="2603" w:hanging="180"/>
      </w:pPr>
    </w:lvl>
    <w:lvl w:ilvl="3" w:tplc="0C0A000F" w:tentative="1">
      <w:start w:val="1"/>
      <w:numFmt w:val="decimal"/>
      <w:lvlText w:val="%4."/>
      <w:lvlJc w:val="left"/>
      <w:pPr>
        <w:ind w:left="3323" w:hanging="360"/>
      </w:pPr>
    </w:lvl>
    <w:lvl w:ilvl="4" w:tplc="0C0A0019" w:tentative="1">
      <w:start w:val="1"/>
      <w:numFmt w:val="lowerLetter"/>
      <w:lvlText w:val="%5."/>
      <w:lvlJc w:val="left"/>
      <w:pPr>
        <w:ind w:left="4043" w:hanging="360"/>
      </w:pPr>
    </w:lvl>
    <w:lvl w:ilvl="5" w:tplc="0C0A001B" w:tentative="1">
      <w:start w:val="1"/>
      <w:numFmt w:val="lowerRoman"/>
      <w:lvlText w:val="%6."/>
      <w:lvlJc w:val="right"/>
      <w:pPr>
        <w:ind w:left="4763" w:hanging="180"/>
      </w:pPr>
    </w:lvl>
    <w:lvl w:ilvl="6" w:tplc="0C0A000F" w:tentative="1">
      <w:start w:val="1"/>
      <w:numFmt w:val="decimal"/>
      <w:lvlText w:val="%7."/>
      <w:lvlJc w:val="left"/>
      <w:pPr>
        <w:ind w:left="5483" w:hanging="360"/>
      </w:pPr>
    </w:lvl>
    <w:lvl w:ilvl="7" w:tplc="0C0A0019" w:tentative="1">
      <w:start w:val="1"/>
      <w:numFmt w:val="lowerLetter"/>
      <w:lvlText w:val="%8."/>
      <w:lvlJc w:val="left"/>
      <w:pPr>
        <w:ind w:left="6203" w:hanging="360"/>
      </w:pPr>
    </w:lvl>
    <w:lvl w:ilvl="8" w:tplc="0C0A001B" w:tentative="1">
      <w:start w:val="1"/>
      <w:numFmt w:val="lowerRoman"/>
      <w:lvlText w:val="%9."/>
      <w:lvlJc w:val="right"/>
      <w:pPr>
        <w:ind w:left="6923" w:hanging="180"/>
      </w:pPr>
    </w:lvl>
  </w:abstractNum>
  <w:abstractNum w:abstractNumId="3" w15:restartNumberingAfterBreak="0">
    <w:nsid w:val="1CC31EC5"/>
    <w:multiLevelType w:val="multilevel"/>
    <w:tmpl w:val="2D8A94E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F0756A"/>
    <w:multiLevelType w:val="hybridMultilevel"/>
    <w:tmpl w:val="7C5E866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B25448"/>
    <w:multiLevelType w:val="multilevel"/>
    <w:tmpl w:val="30BC04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BE0A40"/>
    <w:multiLevelType w:val="hybridMultilevel"/>
    <w:tmpl w:val="4DCCF9EE"/>
    <w:lvl w:ilvl="0" w:tplc="E33C0E36">
      <w:start w:val="1"/>
      <w:numFmt w:val="lowerLetter"/>
      <w:lvlText w:val="%1)"/>
      <w:lvlJc w:val="left"/>
      <w:pPr>
        <w:ind w:left="3337" w:hanging="360"/>
      </w:pPr>
      <w:rPr>
        <w:rFonts w:hint="default"/>
      </w:rPr>
    </w:lvl>
    <w:lvl w:ilvl="1" w:tplc="0C0A0019">
      <w:start w:val="1"/>
      <w:numFmt w:val="lowerLetter"/>
      <w:lvlText w:val="%2."/>
      <w:lvlJc w:val="left"/>
      <w:pPr>
        <w:ind w:left="1458" w:hanging="360"/>
      </w:pPr>
    </w:lvl>
    <w:lvl w:ilvl="2" w:tplc="0C0A001B" w:tentative="1">
      <w:start w:val="1"/>
      <w:numFmt w:val="lowerRoman"/>
      <w:lvlText w:val="%3."/>
      <w:lvlJc w:val="right"/>
      <w:pPr>
        <w:ind w:left="2178" w:hanging="180"/>
      </w:pPr>
    </w:lvl>
    <w:lvl w:ilvl="3" w:tplc="0C0A000F" w:tentative="1">
      <w:start w:val="1"/>
      <w:numFmt w:val="decimal"/>
      <w:lvlText w:val="%4."/>
      <w:lvlJc w:val="left"/>
      <w:pPr>
        <w:ind w:left="2898" w:hanging="360"/>
      </w:pPr>
    </w:lvl>
    <w:lvl w:ilvl="4" w:tplc="0C0A0019" w:tentative="1">
      <w:start w:val="1"/>
      <w:numFmt w:val="lowerLetter"/>
      <w:lvlText w:val="%5."/>
      <w:lvlJc w:val="left"/>
      <w:pPr>
        <w:ind w:left="3618" w:hanging="360"/>
      </w:pPr>
    </w:lvl>
    <w:lvl w:ilvl="5" w:tplc="0C0A001B" w:tentative="1">
      <w:start w:val="1"/>
      <w:numFmt w:val="lowerRoman"/>
      <w:lvlText w:val="%6."/>
      <w:lvlJc w:val="right"/>
      <w:pPr>
        <w:ind w:left="4338" w:hanging="180"/>
      </w:pPr>
    </w:lvl>
    <w:lvl w:ilvl="6" w:tplc="0C0A000F" w:tentative="1">
      <w:start w:val="1"/>
      <w:numFmt w:val="decimal"/>
      <w:lvlText w:val="%7."/>
      <w:lvlJc w:val="left"/>
      <w:pPr>
        <w:ind w:left="5058" w:hanging="360"/>
      </w:pPr>
    </w:lvl>
    <w:lvl w:ilvl="7" w:tplc="0C0A0019" w:tentative="1">
      <w:start w:val="1"/>
      <w:numFmt w:val="lowerLetter"/>
      <w:lvlText w:val="%8."/>
      <w:lvlJc w:val="left"/>
      <w:pPr>
        <w:ind w:left="5778" w:hanging="360"/>
      </w:pPr>
    </w:lvl>
    <w:lvl w:ilvl="8" w:tplc="0C0A001B" w:tentative="1">
      <w:start w:val="1"/>
      <w:numFmt w:val="lowerRoman"/>
      <w:lvlText w:val="%9."/>
      <w:lvlJc w:val="right"/>
      <w:pPr>
        <w:ind w:left="6498" w:hanging="180"/>
      </w:pPr>
    </w:lvl>
  </w:abstractNum>
  <w:abstractNum w:abstractNumId="7" w15:restartNumberingAfterBreak="0">
    <w:nsid w:val="239E2FCF"/>
    <w:multiLevelType w:val="hybridMultilevel"/>
    <w:tmpl w:val="F06012BA"/>
    <w:lvl w:ilvl="0" w:tplc="D308617A">
      <w:start w:val="1"/>
      <w:numFmt w:val="decimal"/>
      <w:pStyle w:val="Ttulo1"/>
      <w:lvlText w:val="%1.ª"/>
      <w:lvlJc w:val="left"/>
      <w:pPr>
        <w:ind w:left="249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9781923"/>
    <w:multiLevelType w:val="multilevel"/>
    <w:tmpl w:val="2250C104"/>
    <w:lvl w:ilvl="0">
      <w:start w:val="1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2558D7"/>
    <w:multiLevelType w:val="multilevel"/>
    <w:tmpl w:val="03AC337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42244E"/>
    <w:multiLevelType w:val="multilevel"/>
    <w:tmpl w:val="2250C104"/>
    <w:lvl w:ilvl="0">
      <w:start w:val="14"/>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0876C27"/>
    <w:multiLevelType w:val="multilevel"/>
    <w:tmpl w:val="2250C104"/>
    <w:lvl w:ilvl="0">
      <w:start w:val="1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0D16E5C"/>
    <w:multiLevelType w:val="hybridMultilevel"/>
    <w:tmpl w:val="1144AB34"/>
    <w:lvl w:ilvl="0" w:tplc="DF3452DC">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C62600"/>
    <w:multiLevelType w:val="hybridMultilevel"/>
    <w:tmpl w:val="31EC7E1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E17419F"/>
    <w:multiLevelType w:val="multilevel"/>
    <w:tmpl w:val="2250C104"/>
    <w:lvl w:ilvl="0">
      <w:start w:val="19"/>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40F2856"/>
    <w:multiLevelType w:val="hybridMultilevel"/>
    <w:tmpl w:val="3F2C02D0"/>
    <w:lvl w:ilvl="0" w:tplc="AD089D46">
      <w:start w:val="1"/>
      <w:numFmt w:val="bullet"/>
      <w:lvlText w:val="-"/>
      <w:lvlJc w:val="left"/>
      <w:pPr>
        <w:ind w:left="1068" w:hanging="360"/>
      </w:pPr>
      <w:rPr>
        <w:rFonts w:ascii="Arial" w:hAnsi="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15:restartNumberingAfterBreak="0">
    <w:nsid w:val="78452FC5"/>
    <w:multiLevelType w:val="multilevel"/>
    <w:tmpl w:val="882C664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9451D90"/>
    <w:multiLevelType w:val="multilevel"/>
    <w:tmpl w:val="7C5E86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C726A1"/>
    <w:multiLevelType w:val="multilevel"/>
    <w:tmpl w:val="882C664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D155DAE"/>
    <w:multiLevelType w:val="hybridMultilevel"/>
    <w:tmpl w:val="38347B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F6B0474"/>
    <w:multiLevelType w:val="hybridMultilevel"/>
    <w:tmpl w:val="2702CFAA"/>
    <w:lvl w:ilvl="0" w:tplc="DF3452DC">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
  </w:num>
  <w:num w:numId="4">
    <w:abstractNumId w:val="4"/>
  </w:num>
  <w:num w:numId="5">
    <w:abstractNumId w:val="17"/>
  </w:num>
  <w:num w:numId="6">
    <w:abstractNumId w:val="12"/>
  </w:num>
  <w:num w:numId="7">
    <w:abstractNumId w:val="20"/>
  </w:num>
  <w:num w:numId="8">
    <w:abstractNumId w:val="7"/>
  </w:num>
  <w:num w:numId="9">
    <w:abstractNumId w:val="3"/>
  </w:num>
  <w:num w:numId="10">
    <w:abstractNumId w:val="15"/>
  </w:num>
  <w:num w:numId="11">
    <w:abstractNumId w:val="6"/>
  </w:num>
  <w:num w:numId="12">
    <w:abstractNumId w:val="2"/>
  </w:num>
  <w:num w:numId="13">
    <w:abstractNumId w:val="19"/>
  </w:num>
  <w:num w:numId="14">
    <w:abstractNumId w:val="5"/>
  </w:num>
  <w:num w:numId="15">
    <w:abstractNumId w:val="9"/>
  </w:num>
  <w:num w:numId="16">
    <w:abstractNumId w:val="16"/>
  </w:num>
  <w:num w:numId="17">
    <w:abstractNumId w:val="8"/>
  </w:num>
  <w:num w:numId="18">
    <w:abstractNumId w:val="10"/>
  </w:num>
  <w:num w:numId="19">
    <w:abstractNumId w:val="18"/>
  </w:num>
  <w:num w:numId="20">
    <w:abstractNumId w:val="1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cumentProtection w:edit="readOnly" w:enforcement="0"/>
  <w:defaultTabStop w:val="708"/>
  <w:hyphenationZone w:val="425"/>
  <w:noPunctuationKerning/>
  <w:characterSpacingControl w:val="doNotCompress"/>
  <w:doNotValidateAgainstSchema/>
  <w:sav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359"/>
    <w:rsid w:val="000049F6"/>
    <w:rsid w:val="00004D82"/>
    <w:rsid w:val="00017956"/>
    <w:rsid w:val="00025AAE"/>
    <w:rsid w:val="00032263"/>
    <w:rsid w:val="00034859"/>
    <w:rsid w:val="0004002E"/>
    <w:rsid w:val="00042E25"/>
    <w:rsid w:val="000512B3"/>
    <w:rsid w:val="00060FD6"/>
    <w:rsid w:val="0006214F"/>
    <w:rsid w:val="000625B8"/>
    <w:rsid w:val="00075851"/>
    <w:rsid w:val="00076CE9"/>
    <w:rsid w:val="000771E8"/>
    <w:rsid w:val="000851C4"/>
    <w:rsid w:val="000855FD"/>
    <w:rsid w:val="00085F16"/>
    <w:rsid w:val="0009199B"/>
    <w:rsid w:val="000A7683"/>
    <w:rsid w:val="000C0728"/>
    <w:rsid w:val="000E2AC9"/>
    <w:rsid w:val="000F15E5"/>
    <w:rsid w:val="000F5313"/>
    <w:rsid w:val="00106AC6"/>
    <w:rsid w:val="00106B2F"/>
    <w:rsid w:val="00107EC0"/>
    <w:rsid w:val="00111E47"/>
    <w:rsid w:val="0013171F"/>
    <w:rsid w:val="00132AF1"/>
    <w:rsid w:val="0014690D"/>
    <w:rsid w:val="0014724E"/>
    <w:rsid w:val="00151EF1"/>
    <w:rsid w:val="00165C46"/>
    <w:rsid w:val="001764FF"/>
    <w:rsid w:val="0019339E"/>
    <w:rsid w:val="001A3D67"/>
    <w:rsid w:val="001B2BB4"/>
    <w:rsid w:val="001B4393"/>
    <w:rsid w:val="001C5D2F"/>
    <w:rsid w:val="001C7724"/>
    <w:rsid w:val="001D5B4B"/>
    <w:rsid w:val="001E594B"/>
    <w:rsid w:val="001E6E90"/>
    <w:rsid w:val="001F3B37"/>
    <w:rsid w:val="00214C71"/>
    <w:rsid w:val="00221660"/>
    <w:rsid w:val="00225734"/>
    <w:rsid w:val="00245E35"/>
    <w:rsid w:val="0025104C"/>
    <w:rsid w:val="00257AFE"/>
    <w:rsid w:val="00261630"/>
    <w:rsid w:val="00261FEB"/>
    <w:rsid w:val="00264B11"/>
    <w:rsid w:val="002722AB"/>
    <w:rsid w:val="002822B0"/>
    <w:rsid w:val="00282457"/>
    <w:rsid w:val="00282CAC"/>
    <w:rsid w:val="00284D03"/>
    <w:rsid w:val="00295DF0"/>
    <w:rsid w:val="002A1118"/>
    <w:rsid w:val="002A5156"/>
    <w:rsid w:val="002A53F7"/>
    <w:rsid w:val="002B1C91"/>
    <w:rsid w:val="002B2C17"/>
    <w:rsid w:val="002B3FA2"/>
    <w:rsid w:val="002B79C3"/>
    <w:rsid w:val="002E2BC7"/>
    <w:rsid w:val="002E2FF7"/>
    <w:rsid w:val="002E3A86"/>
    <w:rsid w:val="002E63E1"/>
    <w:rsid w:val="002F0BDA"/>
    <w:rsid w:val="002F5E33"/>
    <w:rsid w:val="00300F60"/>
    <w:rsid w:val="00300F62"/>
    <w:rsid w:val="00310BBC"/>
    <w:rsid w:val="0031460E"/>
    <w:rsid w:val="00315B8A"/>
    <w:rsid w:val="00315EFF"/>
    <w:rsid w:val="003169C7"/>
    <w:rsid w:val="0033097E"/>
    <w:rsid w:val="003358A1"/>
    <w:rsid w:val="00350259"/>
    <w:rsid w:val="00350D90"/>
    <w:rsid w:val="00370661"/>
    <w:rsid w:val="00397DE0"/>
    <w:rsid w:val="003A1126"/>
    <w:rsid w:val="003A1761"/>
    <w:rsid w:val="003A1A37"/>
    <w:rsid w:val="003A52A7"/>
    <w:rsid w:val="003B0F42"/>
    <w:rsid w:val="003B30A5"/>
    <w:rsid w:val="003B34CA"/>
    <w:rsid w:val="003B3D73"/>
    <w:rsid w:val="003B53AE"/>
    <w:rsid w:val="003B7D78"/>
    <w:rsid w:val="003D190C"/>
    <w:rsid w:val="003E2D40"/>
    <w:rsid w:val="003E3BB3"/>
    <w:rsid w:val="003E7A5D"/>
    <w:rsid w:val="003F3808"/>
    <w:rsid w:val="003F7F66"/>
    <w:rsid w:val="00405200"/>
    <w:rsid w:val="004179C4"/>
    <w:rsid w:val="00426BA0"/>
    <w:rsid w:val="00427794"/>
    <w:rsid w:val="00435F7B"/>
    <w:rsid w:val="0044421E"/>
    <w:rsid w:val="0044538E"/>
    <w:rsid w:val="00446F00"/>
    <w:rsid w:val="00461F95"/>
    <w:rsid w:val="004620DA"/>
    <w:rsid w:val="0046478B"/>
    <w:rsid w:val="0046610B"/>
    <w:rsid w:val="004706FA"/>
    <w:rsid w:val="004754B4"/>
    <w:rsid w:val="0048089D"/>
    <w:rsid w:val="00490A51"/>
    <w:rsid w:val="00494EAA"/>
    <w:rsid w:val="00497777"/>
    <w:rsid w:val="004A5070"/>
    <w:rsid w:val="004B4DE5"/>
    <w:rsid w:val="004D224C"/>
    <w:rsid w:val="004D4979"/>
    <w:rsid w:val="004E337C"/>
    <w:rsid w:val="004E7AFE"/>
    <w:rsid w:val="005026E1"/>
    <w:rsid w:val="00516BAA"/>
    <w:rsid w:val="005249FE"/>
    <w:rsid w:val="00524E2D"/>
    <w:rsid w:val="00525501"/>
    <w:rsid w:val="00533A2F"/>
    <w:rsid w:val="00545486"/>
    <w:rsid w:val="00547C90"/>
    <w:rsid w:val="005500D9"/>
    <w:rsid w:val="00552CD4"/>
    <w:rsid w:val="005713A7"/>
    <w:rsid w:val="00585998"/>
    <w:rsid w:val="00590D7E"/>
    <w:rsid w:val="005C2126"/>
    <w:rsid w:val="005C6D98"/>
    <w:rsid w:val="005D238A"/>
    <w:rsid w:val="005D435D"/>
    <w:rsid w:val="005E321D"/>
    <w:rsid w:val="005F40CA"/>
    <w:rsid w:val="0060026B"/>
    <w:rsid w:val="00611D83"/>
    <w:rsid w:val="00616CD6"/>
    <w:rsid w:val="00621AE7"/>
    <w:rsid w:val="0062315B"/>
    <w:rsid w:val="006310D5"/>
    <w:rsid w:val="006401D4"/>
    <w:rsid w:val="0065076F"/>
    <w:rsid w:val="00670CFF"/>
    <w:rsid w:val="006762A7"/>
    <w:rsid w:val="00682EFF"/>
    <w:rsid w:val="00683E73"/>
    <w:rsid w:val="00690F42"/>
    <w:rsid w:val="006B02C2"/>
    <w:rsid w:val="006B34EE"/>
    <w:rsid w:val="006B67D0"/>
    <w:rsid w:val="006D12BE"/>
    <w:rsid w:val="006D4CD7"/>
    <w:rsid w:val="006D4D9B"/>
    <w:rsid w:val="006E32B7"/>
    <w:rsid w:val="006E41CF"/>
    <w:rsid w:val="006E5648"/>
    <w:rsid w:val="006E7CF7"/>
    <w:rsid w:val="006F24A2"/>
    <w:rsid w:val="006F3AEA"/>
    <w:rsid w:val="007017EE"/>
    <w:rsid w:val="00703285"/>
    <w:rsid w:val="00703626"/>
    <w:rsid w:val="00703675"/>
    <w:rsid w:val="00704BD8"/>
    <w:rsid w:val="00727CA4"/>
    <w:rsid w:val="007313AC"/>
    <w:rsid w:val="00742752"/>
    <w:rsid w:val="00743857"/>
    <w:rsid w:val="00756E86"/>
    <w:rsid w:val="00760474"/>
    <w:rsid w:val="00770EBE"/>
    <w:rsid w:val="0078202C"/>
    <w:rsid w:val="00786570"/>
    <w:rsid w:val="00795949"/>
    <w:rsid w:val="007A74C2"/>
    <w:rsid w:val="007A7829"/>
    <w:rsid w:val="007B4CE7"/>
    <w:rsid w:val="007C033A"/>
    <w:rsid w:val="007C1A44"/>
    <w:rsid w:val="007E5991"/>
    <w:rsid w:val="007E6417"/>
    <w:rsid w:val="007E6A58"/>
    <w:rsid w:val="0080546A"/>
    <w:rsid w:val="0081133D"/>
    <w:rsid w:val="00813940"/>
    <w:rsid w:val="00826BA1"/>
    <w:rsid w:val="00836122"/>
    <w:rsid w:val="00841B5F"/>
    <w:rsid w:val="0084220C"/>
    <w:rsid w:val="00854D7C"/>
    <w:rsid w:val="00856C06"/>
    <w:rsid w:val="008574AF"/>
    <w:rsid w:val="008610F4"/>
    <w:rsid w:val="008631EF"/>
    <w:rsid w:val="00874F94"/>
    <w:rsid w:val="00883A1A"/>
    <w:rsid w:val="008A05E8"/>
    <w:rsid w:val="008A681F"/>
    <w:rsid w:val="008B534A"/>
    <w:rsid w:val="008B68FF"/>
    <w:rsid w:val="008C065E"/>
    <w:rsid w:val="008C1CA4"/>
    <w:rsid w:val="008C2ED5"/>
    <w:rsid w:val="008C522F"/>
    <w:rsid w:val="008D121D"/>
    <w:rsid w:val="008D216A"/>
    <w:rsid w:val="008D5DD9"/>
    <w:rsid w:val="008F0118"/>
    <w:rsid w:val="00900D31"/>
    <w:rsid w:val="00944CB4"/>
    <w:rsid w:val="0095262C"/>
    <w:rsid w:val="009562FE"/>
    <w:rsid w:val="00956B2A"/>
    <w:rsid w:val="00965118"/>
    <w:rsid w:val="009728D2"/>
    <w:rsid w:val="0097430A"/>
    <w:rsid w:val="00984B03"/>
    <w:rsid w:val="00990F64"/>
    <w:rsid w:val="0099284B"/>
    <w:rsid w:val="009957C2"/>
    <w:rsid w:val="009A7C5A"/>
    <w:rsid w:val="009A7CE3"/>
    <w:rsid w:val="009B1A8D"/>
    <w:rsid w:val="009B1D76"/>
    <w:rsid w:val="009B21DC"/>
    <w:rsid w:val="009B3B8C"/>
    <w:rsid w:val="009B5F12"/>
    <w:rsid w:val="009D4D4C"/>
    <w:rsid w:val="009E7EFB"/>
    <w:rsid w:val="009F0959"/>
    <w:rsid w:val="00A04F31"/>
    <w:rsid w:val="00A24F70"/>
    <w:rsid w:val="00A323A8"/>
    <w:rsid w:val="00A3332A"/>
    <w:rsid w:val="00A4706F"/>
    <w:rsid w:val="00A52B78"/>
    <w:rsid w:val="00A569E1"/>
    <w:rsid w:val="00A76479"/>
    <w:rsid w:val="00A93B6F"/>
    <w:rsid w:val="00AA0AC3"/>
    <w:rsid w:val="00AA2E92"/>
    <w:rsid w:val="00AC19DB"/>
    <w:rsid w:val="00AC5A3B"/>
    <w:rsid w:val="00AD0BF3"/>
    <w:rsid w:val="00AD6FDE"/>
    <w:rsid w:val="00AF7E72"/>
    <w:rsid w:val="00B102A6"/>
    <w:rsid w:val="00B1590B"/>
    <w:rsid w:val="00B26A68"/>
    <w:rsid w:val="00B27298"/>
    <w:rsid w:val="00B3267A"/>
    <w:rsid w:val="00B365CE"/>
    <w:rsid w:val="00B41655"/>
    <w:rsid w:val="00B41702"/>
    <w:rsid w:val="00B53E55"/>
    <w:rsid w:val="00B90D98"/>
    <w:rsid w:val="00B93F56"/>
    <w:rsid w:val="00BA05BC"/>
    <w:rsid w:val="00BA2E7A"/>
    <w:rsid w:val="00BA358E"/>
    <w:rsid w:val="00BC30BC"/>
    <w:rsid w:val="00BC5031"/>
    <w:rsid w:val="00BD074E"/>
    <w:rsid w:val="00BD46BA"/>
    <w:rsid w:val="00BE3EA5"/>
    <w:rsid w:val="00C02407"/>
    <w:rsid w:val="00C17F61"/>
    <w:rsid w:val="00C2451C"/>
    <w:rsid w:val="00C2568C"/>
    <w:rsid w:val="00C31904"/>
    <w:rsid w:val="00C330D1"/>
    <w:rsid w:val="00C36CAE"/>
    <w:rsid w:val="00C462C7"/>
    <w:rsid w:val="00C6364A"/>
    <w:rsid w:val="00C66853"/>
    <w:rsid w:val="00C778A3"/>
    <w:rsid w:val="00C834C3"/>
    <w:rsid w:val="00C9301C"/>
    <w:rsid w:val="00C958D6"/>
    <w:rsid w:val="00CA3B5A"/>
    <w:rsid w:val="00CA66CE"/>
    <w:rsid w:val="00CA7EE9"/>
    <w:rsid w:val="00CB250C"/>
    <w:rsid w:val="00CC0CFF"/>
    <w:rsid w:val="00CC6897"/>
    <w:rsid w:val="00CD27F2"/>
    <w:rsid w:val="00CD40D7"/>
    <w:rsid w:val="00CE05C3"/>
    <w:rsid w:val="00D0352D"/>
    <w:rsid w:val="00D04AC4"/>
    <w:rsid w:val="00D06D68"/>
    <w:rsid w:val="00D072D6"/>
    <w:rsid w:val="00D11428"/>
    <w:rsid w:val="00D25B68"/>
    <w:rsid w:val="00D34F90"/>
    <w:rsid w:val="00D3652D"/>
    <w:rsid w:val="00D37635"/>
    <w:rsid w:val="00D40E25"/>
    <w:rsid w:val="00D47C55"/>
    <w:rsid w:val="00D50DB1"/>
    <w:rsid w:val="00D6066D"/>
    <w:rsid w:val="00D62368"/>
    <w:rsid w:val="00D63AFD"/>
    <w:rsid w:val="00D77A90"/>
    <w:rsid w:val="00D77F29"/>
    <w:rsid w:val="00D80F30"/>
    <w:rsid w:val="00D86664"/>
    <w:rsid w:val="00D869C6"/>
    <w:rsid w:val="00D9293A"/>
    <w:rsid w:val="00DA3A3A"/>
    <w:rsid w:val="00DA403C"/>
    <w:rsid w:val="00DA447D"/>
    <w:rsid w:val="00DA702B"/>
    <w:rsid w:val="00DB21EA"/>
    <w:rsid w:val="00DC3640"/>
    <w:rsid w:val="00DD2E32"/>
    <w:rsid w:val="00DE3190"/>
    <w:rsid w:val="00DE612B"/>
    <w:rsid w:val="00E00B68"/>
    <w:rsid w:val="00E020EF"/>
    <w:rsid w:val="00E027C5"/>
    <w:rsid w:val="00E12C6B"/>
    <w:rsid w:val="00E130F4"/>
    <w:rsid w:val="00E15BEE"/>
    <w:rsid w:val="00E2353B"/>
    <w:rsid w:val="00E23F4A"/>
    <w:rsid w:val="00E25D1A"/>
    <w:rsid w:val="00E350B7"/>
    <w:rsid w:val="00E61666"/>
    <w:rsid w:val="00E63676"/>
    <w:rsid w:val="00E6584E"/>
    <w:rsid w:val="00E8609E"/>
    <w:rsid w:val="00EA10D6"/>
    <w:rsid w:val="00EA1740"/>
    <w:rsid w:val="00EA5EA6"/>
    <w:rsid w:val="00EB1199"/>
    <w:rsid w:val="00EB563D"/>
    <w:rsid w:val="00ED385F"/>
    <w:rsid w:val="00ED3D0C"/>
    <w:rsid w:val="00EE2EB0"/>
    <w:rsid w:val="00EE7782"/>
    <w:rsid w:val="00EF0A37"/>
    <w:rsid w:val="00EF14BF"/>
    <w:rsid w:val="00F1368A"/>
    <w:rsid w:val="00F27922"/>
    <w:rsid w:val="00F33BA6"/>
    <w:rsid w:val="00F347B5"/>
    <w:rsid w:val="00F35350"/>
    <w:rsid w:val="00F44BE6"/>
    <w:rsid w:val="00F52922"/>
    <w:rsid w:val="00F60359"/>
    <w:rsid w:val="00F66FE5"/>
    <w:rsid w:val="00F70254"/>
    <w:rsid w:val="00F7033B"/>
    <w:rsid w:val="00F7202E"/>
    <w:rsid w:val="00F74A2A"/>
    <w:rsid w:val="00F76E5F"/>
    <w:rsid w:val="00F93259"/>
    <w:rsid w:val="00F933ED"/>
    <w:rsid w:val="00FB73ED"/>
    <w:rsid w:val="00FC4B91"/>
    <w:rsid w:val="00FE2636"/>
    <w:rsid w:val="00FE5A38"/>
    <w:rsid w:val="00FE5AAD"/>
  </w:rsids>
  <m:mathPr>
    <m:mathFont m:val="Cambria Math"/>
    <m:brkBin m:val="before"/>
    <m:brkBinSub m:val="--"/>
    <m:smallFrac m:val="0"/>
    <m:dispDef/>
    <m:lMargin m:val="0"/>
    <m:rMargin m:val="0"/>
    <m:defJc m:val="centerGroup"/>
    <m:wrapIndent m:val="1440"/>
    <m:intLim m:val="subSup"/>
    <m:naryLim m:val="undOvr"/>
  </m:mathPr>
  <w:attachedSchema w:val="http://tempuri.org/XMLSchema.xsd"/>
  <w:attachedSchema w:val="http://navarra.es/Extra/Plantillas/extra-common.xsd"/>
  <w:attachedSchema w:val="http://navarra.es/Extra/Plantillas/extra-Convocatoria.xsd"/>
  <w:attachedSchema w:val="http://navarra.es/Extra/Plantillas/extra-datosComunes.xsd"/>
  <w:attachedSchema w:val="http://tempuri.org/Ubicaciones.xsd"/>
  <w:attachedSchema w:val="http://navarra.es/Extra/Plantillas/extra-datosGestionEconomica.xsd"/>
  <w:attachedSchema w:val="http://navarra.es/Extra/Plantillas/extra-ConvocatoriaResolucionesConjuntas.xsd"/>
  <w:attachedSchema w:val="http://navarra.es/Extra/Plantillas/extra-sancionador.xsd"/>
  <w:attachedSchema w:val="http://navarra.es/Extra/Plantillas/extra-documentos.xsd"/>
  <w:attachedSchema w:val="http://navarra.es/Extra/Plantillas/extra-seguimientoResoluciones.xsd"/>
  <w:attachedSchema w:val="http://navarra.es/Extra/Plantillas/extra-elabInformesTercerosCorp.xsd"/>
  <w:attachedSchema w:val="plantilla"/>
  <w:attachedSchema w:val="http://navarra.es/Extra/Plantillas/extra-ConcesionDirecta.xsd"/>
  <w:attachedSchema w:val="http://navarra.es/Extra/Plantillas/extra-ot.xsd"/>
  <w:attachedSchema w:val="http://navarra.es/Extra/Plantillas/extra-datosInstalacionEyC.xsd"/>
  <w:attachedSchema w:val="http://navarra.es/Extra/Plantillas/extra-datosOtraInformacionEyC.xsd"/>
  <w:attachedSchema w:val="http://navarra.es/Extra/Plantillas/extra-datosProcesosEyC.xsd"/>
  <w:attachedSchema w:val="http://navarra.es/Extra/Plantillas/extra-datosResiduosEyC.xsd"/>
  <w:attachedSchema w:val="http://navarra.es/Extra/Plantillas/extra-InspeccionCorporativo.xsd"/>
  <w:attachedSchema w:val="http://navarra.es/Extra/Plantillas/extra-Solicitudes.xsd"/>
  <w:attachedSchema w:val="errors@http://tempuri.org/Ubicaciones.xsd"/>
  <w:attachedSchema w:val="http://navarra.es/Extra/Plantillas/extra-RRHH-LicenciaParto.xsd"/>
  <w:attachedSchema w:val="errors@http://navarra.es/Extra/Plantillas/extra-common.xsd"/>
  <w:attachedSchema w:val="errors@http://navarra.es/Extra/Plantillas/extra-datosHabides.xsd"/>
  <w:attachedSchema w:val="http://navarra.es/Extra/Plantillas/extra-datosHabides.xsd"/>
  <w:attachedSchema w:val="http://navarra.es/Extra/Plantillas/extra-RRHH-ComisionServicios.xsd"/>
  <w:attachedSchema w:val="http://navarra.es/Extra/Plantillas/extra-RRHH-Situacion.xsd"/>
  <w:attachedSchema w:val="http://navarra.es/Extra/Plantillas/extra-RRHH-ReduccionJornada.xsd"/>
  <w:attachedSchema w:val="errors@http://navarra.es/Extra/Plantillas/extra-datosComunes.xsd"/>
  <w:attachedSchema w:val="http://navarra.es/Extra/Plantillas/extra-RRHH-Exclusividad.xsd"/>
  <w:attachedSchema w:val="http://navarra.es/Extra/Plantillas/extra-Reintegro.xsd"/>
  <w:attachedSchema w:val="http://navarra.es/Extra/Plantillas/extra-debug.xsd"/>
  <w:attachedSchema w:val="http://navarra.es/Extra/Plantillas/extra-datosEvaluacionComunes.xsd"/>
  <w:attachedSchema w:val="http://navarra.es/Extra/Plantillas/extra-RegEmpresas.xsd"/>
  <w:attachedSchema w:val="http://navarra.es/Extra/Plantillas/extra-datosEntidadCentroEyC.xsd"/>
  <w:attachedSchema w:val="errors@http://navarra.es/Extra/Plantillas/extra-RegEmpresas.xsd"/>
  <w:attachedSchema w:val="http://exslt.org/common"/>
  <w:attachedSchema w:val="errors@http://navarra.es/Extra/Plantillas/extra-sancionador.xsd"/>
  <w:attachedSchema w:val="http://navarra.es/Extra/Plantillas/extra-datosActividadesExtractivasEyC.xsd"/>
  <w:attachedSchema w:val="http://navarra.es/Extra/Plantillas/extra-datosAlmacenamientoEyC.xsd"/>
  <w:attachedSchema w:val="http://navarra.es/Extra/Plantillas/extra-datosCapacidadProduccionEyC.xsd"/>
  <w:attachedSchema w:val="http://navarra.es/Extra/Plantillas/extra-datosClasificacionActividadEyC.xsd"/>
  <w:attachedSchema w:val="http://navarra.es/Extra/Plantillas/extra-datosConsumosEyC.xsd"/>
  <w:attachedSchema w:val="http://navarra.es/Extra/Plantillas/extra-datosEmisionesEyC.xsd"/>
  <w:attachedSchema w:val="http://navarra.es/Extra/Plantillas/extra-datosEntidadCentro.xsd"/>
  <w:attachedSchema w:val="http://navarra.es/Extra/Plantillas/extra-datosActividadesGanaderasEyC.xsd"/>
  <w:attachedSchema w:val="http://navarra.es/Extra/Plantillas/extra-datosGestionEnvasesEyC.xsd"/>
  <w:attachedSchema w:val="http://navarra.es/Extra/Plantillas/extra-recursos.xsd"/>
  <w:attachedSchema w:val="http://navarra.es/Extra/Plantillas/extra-AAI_ACD.xsd"/>
  <w:attachedSchema w:val="errors@http://tempuri.org/XMLSchema.xsd"/>
  <w:attachedSchema w:val="http://schemas.microsoft.com/office/2004/12/omml"/>
  <w:attachedSchema w:val="http://navarra.es/Extra/Plantillas/extra-SancionadorCorporativo.xsd"/>
  <w:attachedSchema w:val="http://navarra.es/Extra/Plantillas/extra-recursoAlzadaTAN.xsd"/>
  <w:attachedSchema w:val="errors@http://navarra.es/Extra/Plantillas/extra-recursoAlzadaTAN.xsd"/>
  <w:attachedSchema w:val="http://navarra.es/Extra/Plantillas/extra-AprobacionEncargos.xsd"/>
  <w:attachedSchema w:val="errors@http://navarra.es/Extra/Plantillas/extra-datosClasificacionActividadEyC.xsd"/>
  <w:attachedSchema w:val="http://navarra.es/Extra/Plantillas/extra-Ayuda-1365-2016.xsd"/>
  <w:attachedSchema w:val="errors@http://navarra.es/Extra/Plantillas/extra-Ayuda-1365-2016.xsd"/>
  <w:attachedSchema w:val="http://navarra.es/Extra/Plantillas/extra-Ayuda-1365-2015.xsd"/>
  <w:attachedSchema w:val="http://navarra.es/Extra/Plantillas/extra-Ayuda-1411-2017.xsd"/>
  <w:attachedSchema w:val="errors@http://navarra.es/Extra/Plantillas/extra-Solicitudes.xsd"/>
  <w:attachedSchema w:val="http://navarra.es/Extra/Plantillas/extra-autInstalacionMaquinas.xsd"/>
  <w:attachedSchema w:val="http://navarra.es/Extra/Plantillas/extra-InspeccionServicioRSSSS.xsd"/>
  <w:attachedSchema w:val="http://navarra.es/Extra/Plantillas/extra-autServiciosSociales.xsd"/>
  <w:attachedSchema w:val="http://navarra.es/Extra/Plantillas/extra-datosEspecificosTransferenciaCredito.xsd"/>
  <w:attachedSchema w:val="http://navarra.es/Extra/Plantillas/extra-datosSAPRRHH_v2.xsd"/>
  <w:attachedSchema w:val="http://navarra.es/Extra/Plantillas/extra-RRHH-PermisoSinSueldoCorp_v2.xsd"/>
  <w:attachedSchema w:val="http://navarra.es/Extra/Plantillas/extra-autExplotacionMaquinas.xsd"/>
  <w:attachedSchema w:val="http://navarra.es/Extra/Plantillas/extra-autReaperturaPlazas.xsd"/>
  <w:attachedSchema w:val="ActionsPane3"/>
  <w:attachedSchema w:val="http://navarra.es/Extra/Plantillas/extra-autExplotacionMaquinasApuestas.xsd"/>
  <w:attachedSchema w:val="http://navarra.es/Extra/Plantillas/extra-autInstalacionMaquinasApuestas.xsd"/>
  <w:attachedSchema w:val="http://navarra.es/Extra/Plantillas/extra-expLocalesJuego.xsd"/>
  <w:attachedSchema w:val="http://navarra.es/Extra/Plantillas/extra-regProfBingo.xsd"/>
  <w:attachedSchema w:val="http://navarra.es/Extra/Plantillas/extra-autEspectaculosTaurinosLidia.xsd"/>
  <w:attachedSchema w:val="errors@http://navarra.es/Extra/Plantillas/extra-regEmpRelJuego.xsd"/>
  <w:attachedSchema w:val="http://navarra.es/Extra/Plantillas/extra-regProhibidosBingo.xsd"/>
  <w:attachedSchema w:val="http://navarra.es/Extra/Plantillas/extra-regModelos.xsd"/>
  <w:attachedSchema w:val="http://navarra.es/Extra/Plantillas/extra-autExplotacionEmpresasApuestas.xsd"/>
  <w:attachedSchema w:val="http://navarra.es/Extra/Plantillas/extra-datosInspeccion.xsd"/>
  <w:attachedSchema w:val="http://navarra.es/Extra/Plantillas/extra-controlPublicidad.xsd"/>
  <w:attachedSchema w:val="http://navarra.es/Extra/Plantillas/AyudasSNERequisitos.xsd"/>
  <w:attachedSchema w:val="http://www.w3.org/2001/XMLSchema-instance"/>
  <w:attachedSchema w:val="http://schemas.microsoft.com/2003/10/Serialization/"/>
  <w:attachedSchema w:val="http://navarra.es/Extra/Plantillas/extra-AutorizacionesPartida.xsd"/>
  <w:attachedSchema w:val="http://navarra.es/Extra/Plantillas/extra-ConcesionConjuntaEmpleoProtegido.xsd"/>
  <w:attachedSchema w:val="http://navarra.es/Extra/Plantillas/extra-FormularioBaremacion.xsd"/>
  <w:attachedSchema w:val="http://navarra.es/Extra/Plantillas/extra-PropuestaResolucion.xsd"/>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BB6B3C-F57C-4EA3-AF84-54E39FADF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84D03"/>
    <w:pPr>
      <w:jc w:val="both"/>
    </w:pPr>
    <w:rPr>
      <w:rFonts w:ascii="Arial" w:hAnsi="Arial"/>
      <w:sz w:val="22"/>
      <w:szCs w:val="24"/>
    </w:rPr>
  </w:style>
  <w:style w:type="paragraph" w:styleId="Ttulo1">
    <w:name w:val="heading 1"/>
    <w:basedOn w:val="foral-f-titulo4-t8-bis-c"/>
    <w:next w:val="Normal"/>
    <w:link w:val="Ttulo1Car"/>
    <w:qFormat/>
    <w:rsid w:val="009B1A8D"/>
    <w:pPr>
      <w:numPr>
        <w:numId w:val="8"/>
      </w:numPr>
      <w:shd w:val="clear" w:color="auto" w:fill="FFFFFF"/>
      <w:spacing w:before="0" w:beforeAutospacing="0" w:after="0" w:afterAutospacing="0" w:line="276" w:lineRule="auto"/>
      <w:jc w:val="both"/>
      <w:outlineLvl w:val="0"/>
    </w:pPr>
    <w:rPr>
      <w:rFonts w:ascii="Open Sans" w:hAnsi="Open Sans"/>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utoRedefine/>
    <w:rsid w:val="007E6A58"/>
    <w:pPr>
      <w:tabs>
        <w:tab w:val="center" w:pos="4252"/>
        <w:tab w:val="right" w:pos="8504"/>
      </w:tabs>
      <w:ind w:left="-851"/>
    </w:pPr>
    <w:rPr>
      <w:rFonts w:ascii="Arial" w:hAnsi="Arial"/>
      <w:sz w:val="22"/>
      <w:szCs w:val="24"/>
    </w:rPr>
  </w:style>
  <w:style w:type="paragraph" w:styleId="Piedepgina">
    <w:name w:val="footer"/>
    <w:basedOn w:val="Normal"/>
    <w:rsid w:val="00A93C55"/>
    <w:pPr>
      <w:tabs>
        <w:tab w:val="center" w:pos="4252"/>
        <w:tab w:val="right" w:pos="8504"/>
      </w:tabs>
    </w:pPr>
  </w:style>
  <w:style w:type="table" w:styleId="Tablaconcuadrcula">
    <w:name w:val="Table Grid"/>
    <w:basedOn w:val="Tablanormal"/>
    <w:rsid w:val="009E7EF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rsid w:val="00261FEB"/>
    <w:rPr>
      <w:rFonts w:ascii="Tahoma" w:hAnsi="Tahoma" w:cs="Tahoma"/>
      <w:sz w:val="16"/>
      <w:szCs w:val="16"/>
    </w:rPr>
  </w:style>
  <w:style w:type="paragraph" w:styleId="Prrafodelista">
    <w:name w:val="List Paragraph"/>
    <w:basedOn w:val="Normal"/>
    <w:qFormat/>
    <w:rsid w:val="009B1A8D"/>
    <w:pPr>
      <w:ind w:left="708"/>
    </w:pPr>
  </w:style>
  <w:style w:type="character" w:customStyle="1" w:styleId="Ttulo1Car">
    <w:name w:val="Título 1 Car"/>
    <w:link w:val="Ttulo1"/>
    <w:rsid w:val="009B1A8D"/>
    <w:rPr>
      <w:rFonts w:ascii="Open Sans" w:hAnsi="Open Sans"/>
      <w:b/>
      <w:bCs/>
      <w:i/>
      <w:iCs/>
      <w:sz w:val="24"/>
      <w:szCs w:val="24"/>
      <w:shd w:val="clear" w:color="auto" w:fill="FFFFFF"/>
    </w:rPr>
  </w:style>
  <w:style w:type="paragraph" w:customStyle="1" w:styleId="foral-f-titulo2-t2-c">
    <w:name w:val="foral-f-titulo2-t2-c"/>
    <w:basedOn w:val="Normal"/>
    <w:rsid w:val="009B1A8D"/>
    <w:pPr>
      <w:spacing w:before="100" w:beforeAutospacing="1" w:after="100" w:afterAutospacing="1"/>
      <w:jc w:val="left"/>
    </w:pPr>
    <w:rPr>
      <w:rFonts w:ascii="Times New Roman" w:hAnsi="Times New Roman"/>
      <w:sz w:val="24"/>
    </w:rPr>
  </w:style>
  <w:style w:type="paragraph" w:customStyle="1" w:styleId="foral-f-titulo4-t8-bis-c">
    <w:name w:val="foral-f-titulo4-t8-bis-c"/>
    <w:basedOn w:val="Normal"/>
    <w:rsid w:val="009B1A8D"/>
    <w:pPr>
      <w:spacing w:before="100" w:beforeAutospacing="1" w:after="100" w:afterAutospacing="1"/>
      <w:jc w:val="left"/>
    </w:pPr>
    <w:rPr>
      <w:rFonts w:ascii="Times New Roman" w:hAnsi="Times New Roman"/>
      <w:sz w:val="24"/>
    </w:rPr>
  </w:style>
  <w:style w:type="paragraph" w:customStyle="1" w:styleId="foral-f-titulo4-t8-c">
    <w:name w:val="foral-f-titulo4-t8-c"/>
    <w:basedOn w:val="Normal"/>
    <w:rsid w:val="009B1A8D"/>
    <w:pPr>
      <w:spacing w:before="100" w:beforeAutospacing="1" w:after="100" w:afterAutospacing="1"/>
      <w:jc w:val="left"/>
    </w:pPr>
    <w:rPr>
      <w:rFonts w:ascii="Times New Roman" w:hAnsi="Times New Roman"/>
      <w:sz w:val="24"/>
    </w:rPr>
  </w:style>
  <w:style w:type="character" w:styleId="Hipervnculo">
    <w:name w:val="Hyperlink"/>
    <w:rsid w:val="009B1A8D"/>
    <w:rPr>
      <w:color w:val="0000FF"/>
      <w:u w:val="single"/>
    </w:rPr>
  </w:style>
  <w:style w:type="paragraph" w:customStyle="1" w:styleId="Default">
    <w:name w:val="Default"/>
    <w:rsid w:val="009B1A8D"/>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042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avarra.es/home_es/Servici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3112</Words>
  <Characters>17116</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Id</vt:lpstr>
    </vt:vector>
  </TitlesOfParts>
  <Company/>
  <LinksUpToDate>false</LinksUpToDate>
  <CharactersWithSpaces>20188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dc:title>
  <dc:subject/>
  <dc:creator>TCSA</dc:creator>
  <cp:keywords/>
  <dc:description/>
  <cp:lastModifiedBy>Eraso Ardanaz, Elena (Dpto. OT, V, P y PE)</cp:lastModifiedBy>
  <cp:revision>2</cp:revision>
  <cp:lastPrinted>2008-08-26T10:36:00Z</cp:lastPrinted>
  <dcterms:created xsi:type="dcterms:W3CDTF">2025-02-11T10:42:00Z</dcterms:created>
  <dcterms:modified xsi:type="dcterms:W3CDTF">2025-02-11T10:42:00Z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
  </property>
  <property fmtid="{D5CDD505-2E9C-101B-9397-08002B2CF9AE}" pid="3" name="SPSDescription">
    <vt:lpwstr/>
  </property>
  <property fmtid="{D5CDD505-2E9C-101B-9397-08002B2CF9AE}" pid="4" name="Status">
    <vt:lpwstr/>
  </property>
</Properties>
</file>