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A4F" w:rsidRPr="008B5A3B" w:rsidRDefault="00F32A4F" w:rsidP="00F32A4F">
      <w:pPr>
        <w:spacing w:after="120" w:line="300" w:lineRule="auto"/>
        <w:jc w:val="both"/>
        <w:rPr>
          <w:rFonts w:asciiTheme="minorHAnsi" w:hAnsiTheme="minorHAnsi" w:cstheme="minorHAnsi"/>
          <w:b/>
          <w:bCs/>
          <w:spacing w:val="6"/>
          <w:sz w:val="22"/>
          <w:szCs w:val="22"/>
        </w:rPr>
      </w:pPr>
      <w:r w:rsidRPr="008B5A3B">
        <w:rPr>
          <w:rFonts w:asciiTheme="minorHAnsi" w:hAnsiTheme="minorHAnsi" w:cstheme="minorHAnsi"/>
          <w:b/>
          <w:bCs/>
          <w:spacing w:val="6"/>
          <w:sz w:val="22"/>
          <w:szCs w:val="22"/>
        </w:rPr>
        <w:t>ANEXO 2.2. DOCUMENTACIÓN JUSTIFICATIVA DEL GRADO DE NECESIDAD DE LA INVERSIÓN (GNI) PARA REDES DE ABASTECIMIENTO, SANEAMIENTO Y PLUVIALES</w:t>
      </w:r>
    </w:p>
    <w:p w:rsidR="00F32A4F" w:rsidRPr="008B5A3B" w:rsidRDefault="00F32A4F" w:rsidP="00F32A4F">
      <w:p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Son requisitos imprescindibles:</w:t>
      </w:r>
    </w:p>
    <w:p w:rsidR="00F32A4F" w:rsidRPr="008B5A3B" w:rsidRDefault="00F32A4F" w:rsidP="00F32A4F">
      <w:pPr>
        <w:pStyle w:val="Prrafodelista"/>
        <w:numPr>
          <w:ilvl w:val="0"/>
          <w:numId w:val="2"/>
        </w:num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Justificar la antigüedad de las redes objeto de renovación, en el caso de que haya tramos con diferente antigüedad, indicar en un plano la antigüedad de cada uno de los tramos.</w:t>
      </w:r>
    </w:p>
    <w:p w:rsidR="00F32A4F" w:rsidRPr="008B5A3B" w:rsidRDefault="00F32A4F" w:rsidP="00F32A4F">
      <w:pPr>
        <w:pStyle w:val="Prrafodelista"/>
        <w:numPr>
          <w:ilvl w:val="0"/>
          <w:numId w:val="2"/>
        </w:num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En caso de presentar tuberías con fibrocemento o plomo, se especificará con el mayor detalle posible su situación y el porcentaje que suponen respecto del total de la conducción.</w:t>
      </w:r>
    </w:p>
    <w:p w:rsidR="00F32A4F" w:rsidRPr="008B5A3B" w:rsidRDefault="00F32A4F" w:rsidP="00F32A4F">
      <w:pPr>
        <w:pStyle w:val="Prrafodelista"/>
        <w:numPr>
          <w:ilvl w:val="0"/>
          <w:numId w:val="2"/>
        </w:num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En el caso de presentar solicitudes de redes con fugas, estas deberán estar suficientemente documentadas. Todas las justificaciones se referirán a las redes solicitadas.</w:t>
      </w:r>
    </w:p>
    <w:p w:rsidR="00F32A4F" w:rsidRPr="008B5A3B" w:rsidRDefault="00F32A4F" w:rsidP="00F32A4F">
      <w:pPr>
        <w:pStyle w:val="Prrafodelista"/>
        <w:numPr>
          <w:ilvl w:val="0"/>
          <w:numId w:val="2"/>
        </w:num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 xml:space="preserve">Para las solicitudes de redes unitarias se indicará expresamente la situación de las redes no renovadas aguas abajo (desde el último elemento renovado, hasta el emisario). Asimismo, se justificará la solución prevista para las pluviales, indicando si se opta por </w:t>
      </w:r>
      <w:proofErr w:type="spellStart"/>
      <w:r w:rsidRPr="008B5A3B">
        <w:rPr>
          <w:rFonts w:asciiTheme="minorHAnsi" w:hAnsiTheme="minorHAnsi" w:cstheme="minorHAnsi"/>
          <w:sz w:val="22"/>
          <w:szCs w:val="22"/>
          <w:lang w:val="es-ES_tradnl"/>
        </w:rPr>
        <w:t>SUDs</w:t>
      </w:r>
      <w:proofErr w:type="spellEnd"/>
      <w:r w:rsidRPr="008B5A3B">
        <w:rPr>
          <w:rFonts w:asciiTheme="minorHAnsi" w:hAnsiTheme="minorHAnsi" w:cstheme="minorHAnsi"/>
          <w:sz w:val="22"/>
          <w:szCs w:val="22"/>
          <w:lang w:val="es-ES_tradnl"/>
        </w:rPr>
        <w:t xml:space="preserve"> (Sistemas urbanos de drenaje sostenible).</w:t>
      </w:r>
    </w:p>
    <w:p w:rsidR="00F32A4F" w:rsidRPr="008B5A3B" w:rsidRDefault="00F32A4F" w:rsidP="00F32A4F">
      <w:p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En la valoración por parte del Servicio de Infraestructuras Locales, no se tendrán en cuenta las deficiencias no documentadas.</w:t>
      </w:r>
    </w:p>
    <w:p w:rsidR="00F32A4F" w:rsidRPr="008B5A3B" w:rsidRDefault="00F32A4F" w:rsidP="00F32A4F">
      <w:p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Para la valoración, se tendrán en cuenta los datos remitidos por las entidades locales, en las encuestas de seguimiento del Plan Director del Ciclo Integral del Agua de Uso Urbano en Navarra 2019-2030. En caso de no haber remitido las fichas correspondientes al ejercicio 2023, la entidad local podrá adjuntarla junto con su solicitud al Plan de Inversiones Locales para el periodo 2026-2028.</w:t>
      </w:r>
    </w:p>
    <w:p w:rsidR="00F32A4F" w:rsidRPr="008B5A3B" w:rsidRDefault="00F32A4F" w:rsidP="00F32A4F">
      <w:pPr>
        <w:spacing w:after="120" w:line="300" w:lineRule="auto"/>
        <w:jc w:val="both"/>
        <w:rPr>
          <w:rFonts w:asciiTheme="minorHAnsi" w:hAnsiTheme="minorHAnsi" w:cstheme="minorHAnsi"/>
          <w:sz w:val="22"/>
          <w:szCs w:val="22"/>
          <w:lang w:val="es-ES_tradnl"/>
        </w:rPr>
      </w:pPr>
    </w:p>
    <w:p w:rsidR="00F32A4F" w:rsidRPr="008B5A3B" w:rsidRDefault="00F32A4F" w:rsidP="00F32A4F">
      <w:pPr>
        <w:pBdr>
          <w:bottom w:val="single" w:sz="12" w:space="1" w:color="auto"/>
        </w:pBdr>
        <w:spacing w:after="120" w:line="300" w:lineRule="auto"/>
        <w:ind w:firstLine="142"/>
        <w:jc w:val="both"/>
        <w:rPr>
          <w:rFonts w:asciiTheme="minorHAnsi" w:hAnsiTheme="minorHAnsi" w:cstheme="minorHAnsi"/>
          <w:b/>
          <w:bCs/>
          <w:spacing w:val="6"/>
          <w:sz w:val="22"/>
          <w:szCs w:val="22"/>
        </w:rPr>
      </w:pPr>
      <w:r w:rsidRPr="008B5A3B">
        <w:rPr>
          <w:rFonts w:asciiTheme="minorHAnsi" w:hAnsiTheme="minorHAnsi" w:cstheme="minorHAnsi"/>
          <w:b/>
          <w:bCs/>
          <w:spacing w:val="6"/>
          <w:sz w:val="22"/>
          <w:szCs w:val="22"/>
        </w:rPr>
        <w:t xml:space="preserve">Modelo de informe justificativo para determinar el grado de necesidad de la inversión </w:t>
      </w:r>
    </w:p>
    <w:p w:rsidR="00F32A4F" w:rsidRPr="008B5A3B" w:rsidRDefault="00F32A4F" w:rsidP="00F32A4F">
      <w:p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Para el informe justificativo, completar los apartados que proceda, en función de la inversión solicitada</w:t>
      </w:r>
    </w:p>
    <w:p w:rsidR="00F32A4F" w:rsidRPr="008B5A3B" w:rsidRDefault="00F32A4F" w:rsidP="00F32A4F">
      <w:pPr>
        <w:spacing w:after="120" w:line="300" w:lineRule="auto"/>
        <w:jc w:val="both"/>
        <w:rPr>
          <w:rFonts w:asciiTheme="minorHAnsi" w:hAnsiTheme="minorHAnsi" w:cstheme="minorHAnsi"/>
          <w:b/>
          <w:sz w:val="22"/>
          <w:szCs w:val="22"/>
          <w:lang w:val="es-ES_tradnl"/>
        </w:rPr>
      </w:pPr>
      <w:r w:rsidRPr="008B5A3B">
        <w:rPr>
          <w:rFonts w:asciiTheme="minorHAnsi" w:hAnsiTheme="minorHAnsi" w:cstheme="minorHAnsi"/>
          <w:b/>
          <w:sz w:val="22"/>
          <w:szCs w:val="22"/>
          <w:lang w:val="es-ES_tradnl"/>
        </w:rPr>
        <w:t>CARACTERÍSTICAS DE LA RED DE ABASTECIMIENTO</w:t>
      </w:r>
    </w:p>
    <w:p w:rsidR="00F32A4F" w:rsidRPr="008B5A3B" w:rsidRDefault="00F32A4F" w:rsidP="00F32A4F">
      <w:p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Aportar información detallada de:</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Fecha de construcción de la red objeto de renovación. Aportar documentación justificativa (acta de recepción de obras) o declaración responsable.</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Material de las conducciones (en caso de varios materiales, indicar porcentaje de cada uno de ellos, distinguir entre arteria principal y acometidas domiciliarias).</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Sección de las conducciones (en caso de varias secciones, indicar porcentaje de cada uno de ellos).</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Estado de conservación de la red objeto de renovación.</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 xml:space="preserve">En caso de solicitar la renovación de contadores, indicar la antigüedad de los contadores a renovar. </w:t>
      </w:r>
    </w:p>
    <w:p w:rsidR="00F32A4F" w:rsidRPr="008B5A3B" w:rsidRDefault="00F32A4F" w:rsidP="00F32A4F">
      <w:pPr>
        <w:spacing w:after="120" w:line="300" w:lineRule="auto"/>
        <w:jc w:val="both"/>
        <w:rPr>
          <w:rFonts w:asciiTheme="minorHAnsi" w:hAnsiTheme="minorHAnsi" w:cstheme="minorHAnsi"/>
          <w:b/>
          <w:sz w:val="22"/>
          <w:szCs w:val="22"/>
          <w:lang w:val="es-ES_tradnl"/>
        </w:rPr>
      </w:pPr>
    </w:p>
    <w:p w:rsidR="00F32A4F" w:rsidRDefault="00F32A4F" w:rsidP="00F32A4F">
      <w:pPr>
        <w:spacing w:after="120" w:line="300" w:lineRule="auto"/>
        <w:jc w:val="both"/>
        <w:rPr>
          <w:rFonts w:asciiTheme="minorHAnsi" w:hAnsiTheme="minorHAnsi" w:cstheme="minorHAnsi"/>
          <w:b/>
          <w:sz w:val="22"/>
          <w:szCs w:val="22"/>
          <w:lang w:val="es-ES_tradnl"/>
        </w:rPr>
      </w:pPr>
    </w:p>
    <w:p w:rsidR="005F72EF" w:rsidRPr="008B5A3B" w:rsidRDefault="005F72EF" w:rsidP="00F32A4F">
      <w:pPr>
        <w:spacing w:after="120" w:line="300" w:lineRule="auto"/>
        <w:jc w:val="both"/>
        <w:rPr>
          <w:rFonts w:asciiTheme="minorHAnsi" w:hAnsiTheme="minorHAnsi" w:cstheme="minorHAnsi"/>
          <w:b/>
          <w:sz w:val="22"/>
          <w:szCs w:val="22"/>
          <w:lang w:val="es-ES_tradnl"/>
        </w:rPr>
      </w:pPr>
    </w:p>
    <w:p w:rsidR="00F32A4F" w:rsidRPr="008B5A3B" w:rsidRDefault="00F32A4F" w:rsidP="00F32A4F">
      <w:pPr>
        <w:spacing w:after="120" w:line="300" w:lineRule="auto"/>
        <w:jc w:val="both"/>
        <w:rPr>
          <w:rFonts w:asciiTheme="minorHAnsi" w:hAnsiTheme="minorHAnsi" w:cstheme="minorHAnsi"/>
          <w:b/>
          <w:sz w:val="22"/>
          <w:szCs w:val="22"/>
          <w:lang w:val="es-ES_tradnl"/>
        </w:rPr>
      </w:pPr>
      <w:r w:rsidRPr="008B5A3B">
        <w:rPr>
          <w:rFonts w:asciiTheme="minorHAnsi" w:hAnsiTheme="minorHAnsi" w:cstheme="minorHAnsi"/>
          <w:b/>
          <w:sz w:val="22"/>
          <w:szCs w:val="22"/>
          <w:lang w:val="es-ES_tradnl"/>
        </w:rPr>
        <w:lastRenderedPageBreak/>
        <w:t>CARACTERÍSTICAS DE LA RED DE SANEAMIENTO</w:t>
      </w:r>
    </w:p>
    <w:p w:rsidR="00F32A4F" w:rsidRPr="008B5A3B" w:rsidRDefault="00F32A4F" w:rsidP="00F32A4F">
      <w:p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Aportar información detallada de:</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Fecha de construcción de la red objeto de renovación. Aportar documentación justificativa (acta de recepción de obras) o declaración responsable.</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Material de las conducciones (en caso de varios materiales, indicar porcentaje de cada uno de ellos).</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Sección de las conducciones (en caso de varias secciones, indicar porcentaje de cada uno de ellos).</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Estado de conservación de la red objeto de renovación.</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Identificación de la red como unitaria o separativa. En caso de redes unitarias descripción de los problemas ocasionados y justificar como contribuye la inversión solicitada, en corregir la situación.</w:t>
      </w:r>
    </w:p>
    <w:p w:rsidR="00F32A4F" w:rsidRPr="008B5A3B" w:rsidRDefault="00F32A4F" w:rsidP="00F32A4F">
      <w:pPr>
        <w:spacing w:after="120" w:line="300" w:lineRule="auto"/>
        <w:jc w:val="both"/>
        <w:rPr>
          <w:rFonts w:asciiTheme="minorHAnsi" w:hAnsiTheme="minorHAnsi" w:cstheme="minorHAnsi"/>
          <w:b/>
          <w:sz w:val="22"/>
          <w:szCs w:val="22"/>
          <w:lang w:val="es-ES_tradnl"/>
        </w:rPr>
      </w:pPr>
      <w:r w:rsidRPr="008B5A3B">
        <w:rPr>
          <w:rFonts w:asciiTheme="minorHAnsi" w:hAnsiTheme="minorHAnsi" w:cstheme="minorHAnsi"/>
          <w:b/>
          <w:sz w:val="22"/>
          <w:szCs w:val="22"/>
          <w:lang w:val="es-ES_tradnl"/>
        </w:rPr>
        <w:t>INSUFICIENCIA DE LA RED DE AGUAS PLUVIALES</w:t>
      </w:r>
    </w:p>
    <w:p w:rsidR="00F32A4F" w:rsidRPr="008B5A3B" w:rsidRDefault="00F32A4F" w:rsidP="00F32A4F">
      <w:p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Aportar información detallada de:</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Procedencia de las aguas pluviales que se proyectan recoger. En su caso, porcentaje de aguas producidas dentro del casco urbano.</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Información detallada y documentada de inundaciones producidas por recogida insuficiente de pluviales en la zona solicitada o del riesgo de sufrir episodios de inundaciones en la misma zona.</w:t>
      </w:r>
    </w:p>
    <w:p w:rsidR="00F32A4F" w:rsidRPr="008B5A3B" w:rsidRDefault="00F32A4F" w:rsidP="00F32A4F">
      <w:p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 xml:space="preserve">Justificar como contribuye la inversión solicitada a reducir o eliminar los riesgos de inundación en la zona de actuación y aguas abajo, indicando si se opta por </w:t>
      </w:r>
      <w:proofErr w:type="spellStart"/>
      <w:r w:rsidRPr="008B5A3B">
        <w:rPr>
          <w:rFonts w:asciiTheme="minorHAnsi" w:hAnsiTheme="minorHAnsi" w:cstheme="minorHAnsi"/>
          <w:sz w:val="22"/>
          <w:szCs w:val="22"/>
          <w:lang w:val="es-ES_tradnl"/>
        </w:rPr>
        <w:t>SUDs</w:t>
      </w:r>
      <w:proofErr w:type="spellEnd"/>
      <w:r w:rsidRPr="008B5A3B">
        <w:rPr>
          <w:rFonts w:asciiTheme="minorHAnsi" w:hAnsiTheme="minorHAnsi" w:cstheme="minorHAnsi"/>
          <w:sz w:val="22"/>
          <w:szCs w:val="22"/>
          <w:lang w:val="es-ES_tradnl"/>
        </w:rPr>
        <w:t xml:space="preserve"> (Sistemas urbanos de drenaje sostenible).</w:t>
      </w:r>
    </w:p>
    <w:p w:rsidR="00F32A4F" w:rsidRPr="008B5A3B" w:rsidRDefault="00F32A4F" w:rsidP="00F32A4F">
      <w:pPr>
        <w:tabs>
          <w:tab w:val="left" w:pos="9071"/>
        </w:tabs>
        <w:spacing w:after="120" w:line="300" w:lineRule="auto"/>
        <w:jc w:val="both"/>
        <w:rPr>
          <w:rFonts w:ascii="Calibri" w:hAnsi="Calibri" w:cs="Calibri"/>
          <w:b/>
          <w:sz w:val="22"/>
          <w:szCs w:val="22"/>
        </w:rPr>
      </w:pPr>
      <w:r w:rsidRPr="008B5A3B">
        <w:rPr>
          <w:rFonts w:ascii="Calibri" w:hAnsi="Calibri" w:cs="Calibri"/>
          <w:b/>
          <w:sz w:val="22"/>
          <w:szCs w:val="22"/>
        </w:rPr>
        <w:t>FUGAS EN LA RED DE ABASTECIMIENTO</w:t>
      </w:r>
    </w:p>
    <w:p w:rsidR="00F32A4F" w:rsidRPr="008B5A3B" w:rsidRDefault="00F32A4F" w:rsidP="00F32A4F">
      <w:p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 xml:space="preserve">Aportar información justificativa, </w:t>
      </w:r>
      <w:r w:rsidRPr="008B5A3B">
        <w:rPr>
          <w:rFonts w:asciiTheme="minorHAnsi" w:hAnsiTheme="minorHAnsi" w:cstheme="minorHAnsi"/>
          <w:b/>
          <w:sz w:val="22"/>
          <w:szCs w:val="22"/>
          <w:lang w:val="es-ES_tradnl"/>
        </w:rPr>
        <w:t>sobre la red solicitada</w:t>
      </w:r>
      <w:r w:rsidRPr="008B5A3B">
        <w:rPr>
          <w:rFonts w:asciiTheme="minorHAnsi" w:hAnsiTheme="minorHAnsi" w:cstheme="minorHAnsi"/>
          <w:sz w:val="22"/>
          <w:szCs w:val="22"/>
          <w:lang w:val="es-ES_tradnl"/>
        </w:rPr>
        <w:t>, mediante alguno o algunos de los siguientes medios:</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Estudios específicos para la detección de fugas.</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Cálculos de agua no registrada.</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Informes y/o partes de trabajos de reparación de fugas.</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Fotografías.</w:t>
      </w:r>
    </w:p>
    <w:p w:rsidR="00F32A4F" w:rsidRPr="008B5A3B" w:rsidRDefault="00F32A4F" w:rsidP="00F32A4F">
      <w:pPr>
        <w:pStyle w:val="Prrafodelista"/>
        <w:numPr>
          <w:ilvl w:val="0"/>
          <w:numId w:val="1"/>
        </w:numPr>
        <w:spacing w:after="120" w:line="288" w:lineRule="auto"/>
        <w:ind w:left="1066" w:hanging="357"/>
        <w:contextualSpacing w:val="0"/>
        <w:jc w:val="both"/>
        <w:rPr>
          <w:rFonts w:ascii="Calibri" w:hAnsi="Calibri"/>
          <w:sz w:val="22"/>
        </w:rPr>
      </w:pPr>
      <w:r w:rsidRPr="008B5A3B">
        <w:rPr>
          <w:rFonts w:ascii="Calibri" w:hAnsi="Calibri"/>
          <w:sz w:val="22"/>
        </w:rPr>
        <w:t>Otros medios.</w:t>
      </w:r>
    </w:p>
    <w:p w:rsidR="00F32A4F" w:rsidRPr="008B5A3B" w:rsidRDefault="00F32A4F" w:rsidP="00F32A4F">
      <w:pPr>
        <w:spacing w:after="120" w:line="300" w:lineRule="auto"/>
        <w:jc w:val="both"/>
        <w:rPr>
          <w:rFonts w:asciiTheme="minorHAnsi" w:hAnsiTheme="minorHAnsi" w:cstheme="minorHAnsi"/>
          <w:b/>
          <w:sz w:val="22"/>
          <w:szCs w:val="22"/>
          <w:lang w:val="es-ES_tradnl"/>
        </w:rPr>
      </w:pPr>
      <w:r w:rsidRPr="008B5A3B">
        <w:rPr>
          <w:rFonts w:asciiTheme="minorHAnsi" w:hAnsiTheme="minorHAnsi" w:cstheme="minorHAnsi"/>
          <w:b/>
          <w:sz w:val="22"/>
          <w:szCs w:val="22"/>
          <w:lang w:val="es-ES_tradnl"/>
        </w:rPr>
        <w:t>VERTIDO DE FECALES A CAUCE</w:t>
      </w:r>
    </w:p>
    <w:p w:rsidR="00F32A4F" w:rsidRPr="008B5A3B" w:rsidRDefault="00F32A4F" w:rsidP="00F32A4F">
      <w:p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Aportar informe detallado y documentado indicando el punto o puntos de vertido a cauce y justificar como contribuye la inversión solicitada a eliminar dicho vertido.</w:t>
      </w:r>
    </w:p>
    <w:p w:rsidR="00F32A4F" w:rsidRPr="008B5A3B" w:rsidRDefault="00F32A4F" w:rsidP="00F32A4F">
      <w:pPr>
        <w:spacing w:after="120" w:line="300" w:lineRule="auto"/>
        <w:jc w:val="both"/>
        <w:rPr>
          <w:rFonts w:asciiTheme="minorHAnsi" w:hAnsiTheme="minorHAnsi" w:cstheme="minorHAnsi"/>
          <w:sz w:val="22"/>
          <w:szCs w:val="22"/>
          <w:lang w:val="es-ES_tradnl"/>
        </w:rPr>
      </w:pPr>
    </w:p>
    <w:p w:rsidR="00F32A4F" w:rsidRPr="008B5A3B" w:rsidRDefault="00F32A4F" w:rsidP="00F32A4F">
      <w:pPr>
        <w:spacing w:after="120" w:line="300" w:lineRule="auto"/>
        <w:jc w:val="both"/>
        <w:rPr>
          <w:rFonts w:asciiTheme="minorHAnsi" w:hAnsiTheme="minorHAnsi" w:cstheme="minorHAnsi"/>
          <w:sz w:val="22"/>
          <w:szCs w:val="22"/>
          <w:lang w:val="es-ES_tradnl"/>
        </w:rPr>
      </w:pPr>
    </w:p>
    <w:p w:rsidR="00F32A4F" w:rsidRPr="008B5A3B" w:rsidRDefault="00F32A4F" w:rsidP="00F32A4F">
      <w:pPr>
        <w:spacing w:after="120" w:line="300" w:lineRule="auto"/>
        <w:jc w:val="both"/>
        <w:rPr>
          <w:rFonts w:asciiTheme="minorHAnsi" w:hAnsiTheme="minorHAnsi" w:cstheme="minorHAnsi"/>
          <w:b/>
          <w:sz w:val="22"/>
          <w:szCs w:val="22"/>
          <w:lang w:val="es-ES_tradnl"/>
        </w:rPr>
      </w:pPr>
      <w:r w:rsidRPr="008B5A3B">
        <w:rPr>
          <w:rFonts w:asciiTheme="minorHAnsi" w:hAnsiTheme="minorHAnsi" w:cstheme="minorHAnsi"/>
          <w:b/>
          <w:sz w:val="22"/>
          <w:szCs w:val="22"/>
          <w:lang w:val="es-ES_tradnl"/>
        </w:rPr>
        <w:lastRenderedPageBreak/>
        <w:t>INCIDENCIAS DE LA RED DE ABASTECIMIENTO POR EXCESO O DEFECTO DE PRESIÓN</w:t>
      </w:r>
    </w:p>
    <w:p w:rsidR="00F32A4F" w:rsidRPr="008B5A3B" w:rsidRDefault="00F32A4F" w:rsidP="00F32A4F">
      <w:pPr>
        <w:spacing w:after="120" w:line="300" w:lineRule="auto"/>
        <w:jc w:val="both"/>
        <w:rPr>
          <w:rFonts w:asciiTheme="minorHAnsi" w:hAnsiTheme="minorHAnsi" w:cstheme="minorHAnsi"/>
          <w:sz w:val="22"/>
          <w:szCs w:val="22"/>
          <w:lang w:val="es-ES_tradnl"/>
        </w:rPr>
      </w:pPr>
      <w:r w:rsidRPr="008B5A3B">
        <w:rPr>
          <w:rFonts w:asciiTheme="minorHAnsi" w:hAnsiTheme="minorHAnsi" w:cstheme="minorHAnsi"/>
          <w:sz w:val="22"/>
          <w:szCs w:val="22"/>
          <w:lang w:val="es-ES_tradnl"/>
        </w:rPr>
        <w:t>Aportar estudio de presiones en los puntos de consumo y justificar como contribuye la inversión solicitada a solventar las incidencias por exceso o defecto de presión.</w:t>
      </w:r>
    </w:p>
    <w:p w:rsidR="00F32A4F" w:rsidRPr="008B5A3B" w:rsidRDefault="00F32A4F" w:rsidP="00F32A4F">
      <w:pPr>
        <w:spacing w:after="120" w:line="300" w:lineRule="auto"/>
        <w:jc w:val="both"/>
        <w:rPr>
          <w:rFonts w:asciiTheme="minorHAnsi" w:hAnsiTheme="minorHAnsi" w:cstheme="minorHAnsi"/>
          <w:b/>
          <w:sz w:val="22"/>
          <w:szCs w:val="22"/>
          <w:lang w:val="es-ES_tradnl"/>
        </w:rPr>
      </w:pPr>
      <w:r w:rsidRPr="008B5A3B">
        <w:rPr>
          <w:rFonts w:asciiTheme="minorHAnsi" w:hAnsiTheme="minorHAnsi" w:cstheme="minorHAnsi"/>
          <w:b/>
          <w:sz w:val="22"/>
          <w:szCs w:val="22"/>
          <w:lang w:val="es-ES_tradnl"/>
        </w:rPr>
        <w:t>OTRAS INCIDENCIAS QUE AFECTEN AL NORMAL FUNCIONAMIENTO DE LAS REDES</w:t>
      </w:r>
    </w:p>
    <w:p w:rsidR="00F32A4F" w:rsidRPr="008B5A3B" w:rsidRDefault="00F32A4F" w:rsidP="00F32A4F">
      <w:pPr>
        <w:spacing w:after="120" w:line="300" w:lineRule="auto"/>
        <w:jc w:val="both"/>
        <w:rPr>
          <w:rFonts w:asciiTheme="minorHAnsi" w:hAnsiTheme="minorHAnsi" w:cstheme="minorHAnsi"/>
          <w:b/>
          <w:sz w:val="22"/>
          <w:szCs w:val="22"/>
          <w:lang w:val="es-ES_tradnl"/>
        </w:rPr>
      </w:pPr>
      <w:r w:rsidRPr="008B5A3B">
        <w:rPr>
          <w:rFonts w:asciiTheme="minorHAnsi" w:hAnsiTheme="minorHAnsi" w:cstheme="minorHAnsi"/>
          <w:sz w:val="22"/>
          <w:szCs w:val="22"/>
          <w:lang w:val="es-ES_tradnl"/>
        </w:rPr>
        <w:t>Aportar informe detallado y documentado sobre las incidencias que afecten al normal funcionamiento de las redes y justificar como contribuye la inversión solicitada a solventarlas.</w:t>
      </w:r>
    </w:p>
    <w:p w:rsidR="00F32A4F" w:rsidRPr="008B5A3B" w:rsidRDefault="00F32A4F" w:rsidP="00F32A4F">
      <w:pPr>
        <w:spacing w:after="120" w:line="300" w:lineRule="auto"/>
        <w:jc w:val="both"/>
        <w:rPr>
          <w:rFonts w:asciiTheme="minorHAnsi" w:hAnsiTheme="minorHAnsi" w:cstheme="minorHAnsi"/>
          <w:b/>
          <w:sz w:val="22"/>
          <w:szCs w:val="22"/>
          <w:lang w:val="es-ES_tradnl"/>
        </w:rPr>
      </w:pPr>
      <w:r w:rsidRPr="008B5A3B">
        <w:rPr>
          <w:rFonts w:asciiTheme="minorHAnsi" w:hAnsiTheme="minorHAnsi" w:cstheme="minorHAnsi"/>
          <w:b/>
          <w:sz w:val="22"/>
          <w:szCs w:val="22"/>
          <w:lang w:val="es-ES_tradnl"/>
        </w:rPr>
        <w:t xml:space="preserve">PRESUPUESTO PARA CONOCIMIENTO DE LA ADMINISTRACIÓN. </w:t>
      </w:r>
    </w:p>
    <w:p w:rsidR="00F32A4F" w:rsidRPr="008B5A3B" w:rsidRDefault="00F32A4F" w:rsidP="00F32A4F">
      <w:pPr>
        <w:tabs>
          <w:tab w:val="left" w:pos="9071"/>
        </w:tabs>
        <w:spacing w:after="120" w:line="300" w:lineRule="auto"/>
        <w:jc w:val="both"/>
        <w:rPr>
          <w:rFonts w:ascii="Calibri" w:hAnsi="Calibri" w:cs="Calibri"/>
          <w:sz w:val="22"/>
          <w:szCs w:val="22"/>
        </w:rPr>
      </w:pPr>
      <w:r w:rsidRPr="008B5A3B">
        <w:rPr>
          <w:rFonts w:ascii="Calibri" w:hAnsi="Calibri" w:cs="Calibri"/>
          <w:sz w:val="22"/>
          <w:szCs w:val="22"/>
        </w:rPr>
        <w:t>Debe expresarse el coste antes de IVA de la ejecución de las obras, los honorarios técnicos de redacción de proyecto, dirección de las obras y otras asistencias necesarias, las afecciones por disposición de bienes que sean necesarias para cumplir con el objeto de la inversión.</w:t>
      </w:r>
    </w:p>
    <w:p w:rsidR="00F32A4F" w:rsidRPr="008B5A3B" w:rsidRDefault="00F32A4F" w:rsidP="00F32A4F">
      <w:pPr>
        <w:tabs>
          <w:tab w:val="left" w:pos="9071"/>
        </w:tabs>
        <w:spacing w:after="120" w:line="300" w:lineRule="auto"/>
        <w:jc w:val="both"/>
        <w:rPr>
          <w:rFonts w:ascii="Calibri" w:hAnsi="Calibri" w:cs="Calibri"/>
          <w:sz w:val="22"/>
          <w:szCs w:val="22"/>
        </w:rPr>
      </w:pPr>
    </w:p>
    <w:p w:rsidR="00F32A4F" w:rsidRPr="008B5A3B" w:rsidRDefault="00F32A4F" w:rsidP="00F32A4F">
      <w:pPr>
        <w:tabs>
          <w:tab w:val="left" w:pos="9071"/>
        </w:tabs>
        <w:spacing w:after="120" w:line="300" w:lineRule="auto"/>
        <w:jc w:val="both"/>
        <w:rPr>
          <w:rFonts w:ascii="Calibri" w:hAnsi="Calibri" w:cs="Calibri"/>
          <w:sz w:val="22"/>
          <w:szCs w:val="22"/>
        </w:rPr>
      </w:pPr>
      <w:r w:rsidRPr="008B5A3B">
        <w:rPr>
          <w:rFonts w:ascii="Calibri" w:hAnsi="Calibri" w:cs="Calibri"/>
          <w:sz w:val="22"/>
          <w:szCs w:val="22"/>
        </w:rPr>
        <w:t>Red de abastecimiento y/o saneamiento</w:t>
      </w:r>
    </w:p>
    <w:tbl>
      <w:tblPr>
        <w:tblStyle w:val="Tablaconcuadrcula"/>
        <w:tblW w:w="0" w:type="auto"/>
        <w:tblLook w:val="04A0" w:firstRow="1" w:lastRow="0" w:firstColumn="1" w:lastColumn="0" w:noHBand="0" w:noVBand="1"/>
      </w:tblPr>
      <w:tblGrid>
        <w:gridCol w:w="6799"/>
        <w:gridCol w:w="1843"/>
      </w:tblGrid>
      <w:tr w:rsidR="00F32A4F" w:rsidRPr="008B5A3B" w:rsidTr="000A671D">
        <w:tc>
          <w:tcPr>
            <w:tcW w:w="6799" w:type="dxa"/>
            <w:vAlign w:val="center"/>
          </w:tcPr>
          <w:p w:rsidR="00F32A4F" w:rsidRPr="008B5A3B" w:rsidRDefault="00F32A4F" w:rsidP="000A671D">
            <w:pPr>
              <w:tabs>
                <w:tab w:val="left" w:pos="9071"/>
              </w:tabs>
              <w:spacing w:line="300" w:lineRule="auto"/>
              <w:jc w:val="both"/>
              <w:rPr>
                <w:rFonts w:ascii="Calibri" w:hAnsi="Calibri" w:cs="Calibri"/>
              </w:rPr>
            </w:pPr>
          </w:p>
        </w:tc>
        <w:tc>
          <w:tcPr>
            <w:tcW w:w="1843" w:type="dxa"/>
            <w:vAlign w:val="center"/>
          </w:tcPr>
          <w:p w:rsidR="00F32A4F" w:rsidRPr="008B5A3B" w:rsidRDefault="00F32A4F" w:rsidP="000A671D">
            <w:pPr>
              <w:tabs>
                <w:tab w:val="left" w:pos="9071"/>
              </w:tabs>
              <w:spacing w:line="300" w:lineRule="auto"/>
              <w:jc w:val="center"/>
              <w:rPr>
                <w:rFonts w:ascii="Calibri" w:hAnsi="Calibri" w:cs="Calibri"/>
              </w:rPr>
            </w:pPr>
            <w:r w:rsidRPr="008B5A3B">
              <w:rPr>
                <w:rFonts w:ascii="Calibri" w:hAnsi="Calibri" w:cs="Calibri"/>
              </w:rPr>
              <w:t>Importe en euros IVA excluido</w:t>
            </w:r>
          </w:p>
        </w:tc>
      </w:tr>
      <w:tr w:rsidR="00F32A4F" w:rsidRPr="008B5A3B" w:rsidTr="000A671D">
        <w:tc>
          <w:tcPr>
            <w:tcW w:w="6799" w:type="dxa"/>
            <w:vAlign w:val="center"/>
          </w:tcPr>
          <w:p w:rsidR="00F32A4F" w:rsidRPr="008B5A3B" w:rsidRDefault="00F32A4F" w:rsidP="000A671D">
            <w:pPr>
              <w:tabs>
                <w:tab w:val="left" w:pos="9071"/>
              </w:tabs>
              <w:spacing w:line="300" w:lineRule="auto"/>
              <w:jc w:val="both"/>
              <w:rPr>
                <w:rFonts w:ascii="Calibri" w:hAnsi="Calibri" w:cs="Calibri"/>
              </w:rPr>
            </w:pPr>
            <w:r w:rsidRPr="008B5A3B">
              <w:rPr>
                <w:rFonts w:ascii="Calibri" w:hAnsi="Calibri" w:cs="Calibri"/>
              </w:rPr>
              <w:t>Presupuesto obra (*)</w:t>
            </w:r>
          </w:p>
        </w:tc>
        <w:tc>
          <w:tcPr>
            <w:tcW w:w="1843" w:type="dxa"/>
            <w:vAlign w:val="center"/>
          </w:tcPr>
          <w:p w:rsidR="00F32A4F" w:rsidRPr="008B5A3B" w:rsidRDefault="00F32A4F" w:rsidP="000A671D">
            <w:pPr>
              <w:tabs>
                <w:tab w:val="left" w:pos="9071"/>
              </w:tabs>
              <w:spacing w:line="300" w:lineRule="auto"/>
              <w:jc w:val="right"/>
              <w:rPr>
                <w:rFonts w:ascii="Calibri" w:hAnsi="Calibri" w:cs="Calibri"/>
              </w:rPr>
            </w:pPr>
          </w:p>
        </w:tc>
      </w:tr>
      <w:tr w:rsidR="00F32A4F" w:rsidRPr="008B5A3B" w:rsidTr="000A671D">
        <w:tc>
          <w:tcPr>
            <w:tcW w:w="6799" w:type="dxa"/>
            <w:vAlign w:val="center"/>
          </w:tcPr>
          <w:p w:rsidR="00F32A4F" w:rsidRPr="008B5A3B" w:rsidRDefault="00F32A4F" w:rsidP="000A671D">
            <w:pPr>
              <w:tabs>
                <w:tab w:val="left" w:pos="9071"/>
              </w:tabs>
              <w:spacing w:line="300" w:lineRule="auto"/>
              <w:jc w:val="both"/>
              <w:rPr>
                <w:rFonts w:ascii="Calibri" w:hAnsi="Calibri" w:cs="Calibri"/>
              </w:rPr>
            </w:pPr>
            <w:r w:rsidRPr="008B5A3B">
              <w:rPr>
                <w:rFonts w:ascii="Calibri" w:hAnsi="Calibri" w:cs="Calibri"/>
              </w:rPr>
              <w:t>Presupuesto de honorarios de redacción de proyecto y dirección de obra</w:t>
            </w:r>
          </w:p>
        </w:tc>
        <w:tc>
          <w:tcPr>
            <w:tcW w:w="1843" w:type="dxa"/>
            <w:vAlign w:val="center"/>
          </w:tcPr>
          <w:p w:rsidR="00F32A4F" w:rsidRPr="008B5A3B" w:rsidRDefault="00F32A4F" w:rsidP="000A671D">
            <w:pPr>
              <w:tabs>
                <w:tab w:val="left" w:pos="9071"/>
              </w:tabs>
              <w:spacing w:line="300" w:lineRule="auto"/>
              <w:jc w:val="right"/>
              <w:rPr>
                <w:rFonts w:ascii="Calibri" w:hAnsi="Calibri" w:cs="Calibri"/>
              </w:rPr>
            </w:pPr>
          </w:p>
        </w:tc>
      </w:tr>
      <w:tr w:rsidR="00F32A4F" w:rsidRPr="008B5A3B" w:rsidTr="000A671D">
        <w:tc>
          <w:tcPr>
            <w:tcW w:w="6799" w:type="dxa"/>
            <w:vAlign w:val="center"/>
          </w:tcPr>
          <w:p w:rsidR="00F32A4F" w:rsidRPr="008B5A3B" w:rsidRDefault="00F32A4F" w:rsidP="000A671D">
            <w:pPr>
              <w:tabs>
                <w:tab w:val="left" w:pos="9071"/>
              </w:tabs>
              <w:spacing w:line="300" w:lineRule="auto"/>
              <w:jc w:val="both"/>
              <w:rPr>
                <w:rFonts w:ascii="Calibri" w:hAnsi="Calibri" w:cs="Calibri"/>
              </w:rPr>
            </w:pPr>
            <w:r w:rsidRPr="008B5A3B">
              <w:rPr>
                <w:rFonts w:ascii="Calibri" w:hAnsi="Calibri" w:cs="Calibri"/>
              </w:rPr>
              <w:t>Otras asistencias técnicas</w:t>
            </w:r>
          </w:p>
        </w:tc>
        <w:tc>
          <w:tcPr>
            <w:tcW w:w="1843" w:type="dxa"/>
            <w:vAlign w:val="center"/>
          </w:tcPr>
          <w:p w:rsidR="00F32A4F" w:rsidRPr="008B5A3B" w:rsidRDefault="00F32A4F" w:rsidP="000A671D">
            <w:pPr>
              <w:tabs>
                <w:tab w:val="left" w:pos="9071"/>
              </w:tabs>
              <w:spacing w:line="300" w:lineRule="auto"/>
              <w:jc w:val="right"/>
              <w:rPr>
                <w:rFonts w:ascii="Calibri" w:hAnsi="Calibri" w:cs="Calibri"/>
              </w:rPr>
            </w:pPr>
          </w:p>
        </w:tc>
      </w:tr>
      <w:tr w:rsidR="00F32A4F" w:rsidRPr="008B5A3B" w:rsidTr="000A671D">
        <w:tc>
          <w:tcPr>
            <w:tcW w:w="6799" w:type="dxa"/>
            <w:vAlign w:val="center"/>
          </w:tcPr>
          <w:p w:rsidR="00F32A4F" w:rsidRPr="008B5A3B" w:rsidRDefault="00F32A4F" w:rsidP="000A671D">
            <w:pPr>
              <w:tabs>
                <w:tab w:val="left" w:pos="9071"/>
              </w:tabs>
              <w:spacing w:line="300" w:lineRule="auto"/>
              <w:jc w:val="both"/>
              <w:rPr>
                <w:rFonts w:ascii="Calibri" w:hAnsi="Calibri" w:cs="Calibri"/>
              </w:rPr>
            </w:pPr>
            <w:r w:rsidRPr="008B5A3B">
              <w:rPr>
                <w:rFonts w:ascii="Calibri" w:hAnsi="Calibri" w:cs="Calibri"/>
              </w:rPr>
              <w:t>Afecciones</w:t>
            </w:r>
          </w:p>
        </w:tc>
        <w:tc>
          <w:tcPr>
            <w:tcW w:w="1843" w:type="dxa"/>
            <w:vAlign w:val="center"/>
          </w:tcPr>
          <w:p w:rsidR="00F32A4F" w:rsidRPr="008B5A3B" w:rsidRDefault="00F32A4F" w:rsidP="000A671D">
            <w:pPr>
              <w:tabs>
                <w:tab w:val="left" w:pos="9071"/>
              </w:tabs>
              <w:spacing w:line="300" w:lineRule="auto"/>
              <w:jc w:val="right"/>
              <w:rPr>
                <w:rFonts w:ascii="Calibri" w:hAnsi="Calibri" w:cs="Calibri"/>
              </w:rPr>
            </w:pPr>
          </w:p>
        </w:tc>
      </w:tr>
      <w:tr w:rsidR="00F32A4F" w:rsidRPr="008B5A3B" w:rsidTr="000A671D">
        <w:tc>
          <w:tcPr>
            <w:tcW w:w="6799" w:type="dxa"/>
            <w:vAlign w:val="center"/>
          </w:tcPr>
          <w:p w:rsidR="00F32A4F" w:rsidRPr="008B5A3B" w:rsidRDefault="00F32A4F" w:rsidP="000A671D">
            <w:pPr>
              <w:tabs>
                <w:tab w:val="left" w:pos="9071"/>
              </w:tabs>
              <w:spacing w:line="300" w:lineRule="auto"/>
              <w:jc w:val="right"/>
              <w:rPr>
                <w:rFonts w:ascii="Calibri" w:hAnsi="Calibri" w:cs="Calibri"/>
              </w:rPr>
            </w:pPr>
            <w:r w:rsidRPr="008B5A3B">
              <w:rPr>
                <w:rFonts w:ascii="Calibri" w:hAnsi="Calibri" w:cs="Calibri"/>
              </w:rPr>
              <w:t>Total presupuesto</w:t>
            </w:r>
          </w:p>
        </w:tc>
        <w:tc>
          <w:tcPr>
            <w:tcW w:w="1843" w:type="dxa"/>
            <w:vAlign w:val="center"/>
          </w:tcPr>
          <w:p w:rsidR="00F32A4F" w:rsidRPr="008B5A3B" w:rsidRDefault="00F32A4F" w:rsidP="000A671D">
            <w:pPr>
              <w:tabs>
                <w:tab w:val="left" w:pos="9071"/>
              </w:tabs>
              <w:spacing w:line="300" w:lineRule="auto"/>
              <w:jc w:val="right"/>
              <w:rPr>
                <w:rFonts w:ascii="Calibri" w:hAnsi="Calibri" w:cs="Calibri"/>
              </w:rPr>
            </w:pPr>
          </w:p>
        </w:tc>
      </w:tr>
    </w:tbl>
    <w:p w:rsidR="00F32A4F" w:rsidRPr="008B5A3B" w:rsidRDefault="00F32A4F" w:rsidP="00F32A4F">
      <w:pPr>
        <w:tabs>
          <w:tab w:val="left" w:pos="9071"/>
        </w:tabs>
        <w:spacing w:after="120" w:line="300" w:lineRule="auto"/>
        <w:jc w:val="both"/>
        <w:rPr>
          <w:rFonts w:ascii="Calibri" w:hAnsi="Calibri" w:cs="Calibri"/>
          <w:sz w:val="22"/>
          <w:szCs w:val="22"/>
          <w:lang w:val="es-ES_tradnl"/>
        </w:rPr>
      </w:pPr>
    </w:p>
    <w:p w:rsidR="00F32A4F" w:rsidRPr="008B5A3B" w:rsidRDefault="00F32A4F" w:rsidP="00F32A4F">
      <w:pPr>
        <w:spacing w:after="160" w:line="259" w:lineRule="auto"/>
        <w:jc w:val="both"/>
        <w:rPr>
          <w:rFonts w:asciiTheme="minorHAnsi" w:hAnsiTheme="minorHAnsi" w:cstheme="minorHAnsi"/>
          <w:bCs/>
          <w:spacing w:val="6"/>
          <w:sz w:val="22"/>
          <w:szCs w:val="22"/>
        </w:rPr>
      </w:pPr>
      <w:r w:rsidRPr="008B5A3B">
        <w:rPr>
          <w:rFonts w:asciiTheme="minorHAnsi" w:hAnsiTheme="minorHAnsi" w:cstheme="minorHAnsi"/>
          <w:bCs/>
          <w:spacing w:val="6"/>
          <w:sz w:val="22"/>
          <w:szCs w:val="22"/>
        </w:rPr>
        <w:t>En caso de presentar una solicitud conjunta de inversiones de redes de abastecimiento y/o saneamiento con una inversión de redes de pluviales, presentar el presupuesto de la red de pluviales por separado.</w:t>
      </w:r>
    </w:p>
    <w:p w:rsidR="00F32A4F" w:rsidRPr="008B5A3B" w:rsidRDefault="00F32A4F" w:rsidP="00F32A4F">
      <w:pPr>
        <w:tabs>
          <w:tab w:val="left" w:pos="9071"/>
        </w:tabs>
        <w:spacing w:after="120" w:line="300" w:lineRule="auto"/>
        <w:jc w:val="both"/>
        <w:rPr>
          <w:rFonts w:ascii="Calibri" w:hAnsi="Calibri" w:cs="Calibri"/>
          <w:sz w:val="22"/>
          <w:szCs w:val="22"/>
        </w:rPr>
      </w:pPr>
      <w:r w:rsidRPr="008B5A3B">
        <w:rPr>
          <w:rFonts w:ascii="Calibri" w:hAnsi="Calibri" w:cs="Calibri"/>
          <w:sz w:val="22"/>
          <w:szCs w:val="22"/>
        </w:rPr>
        <w:t>Red de pluviales</w:t>
      </w:r>
    </w:p>
    <w:tbl>
      <w:tblPr>
        <w:tblStyle w:val="Tablaconcuadrcula"/>
        <w:tblW w:w="0" w:type="auto"/>
        <w:tblLook w:val="04A0" w:firstRow="1" w:lastRow="0" w:firstColumn="1" w:lastColumn="0" w:noHBand="0" w:noVBand="1"/>
      </w:tblPr>
      <w:tblGrid>
        <w:gridCol w:w="6799"/>
        <w:gridCol w:w="1843"/>
      </w:tblGrid>
      <w:tr w:rsidR="00F32A4F" w:rsidRPr="008B5A3B" w:rsidTr="000A671D">
        <w:tc>
          <w:tcPr>
            <w:tcW w:w="6799" w:type="dxa"/>
            <w:vAlign w:val="center"/>
          </w:tcPr>
          <w:p w:rsidR="00F32A4F" w:rsidRPr="008B5A3B" w:rsidRDefault="00F32A4F" w:rsidP="000A671D">
            <w:pPr>
              <w:tabs>
                <w:tab w:val="left" w:pos="9071"/>
              </w:tabs>
              <w:spacing w:line="300" w:lineRule="auto"/>
              <w:jc w:val="both"/>
              <w:rPr>
                <w:rFonts w:ascii="Calibri" w:hAnsi="Calibri" w:cs="Calibri"/>
              </w:rPr>
            </w:pPr>
          </w:p>
        </w:tc>
        <w:tc>
          <w:tcPr>
            <w:tcW w:w="1843" w:type="dxa"/>
            <w:vAlign w:val="center"/>
          </w:tcPr>
          <w:p w:rsidR="00F32A4F" w:rsidRPr="008B5A3B" w:rsidRDefault="00F32A4F" w:rsidP="000A671D">
            <w:pPr>
              <w:tabs>
                <w:tab w:val="left" w:pos="9071"/>
              </w:tabs>
              <w:spacing w:line="300" w:lineRule="auto"/>
              <w:jc w:val="center"/>
              <w:rPr>
                <w:rFonts w:ascii="Calibri" w:hAnsi="Calibri" w:cs="Calibri"/>
              </w:rPr>
            </w:pPr>
            <w:r w:rsidRPr="008B5A3B">
              <w:rPr>
                <w:rFonts w:ascii="Calibri" w:hAnsi="Calibri" w:cs="Calibri"/>
              </w:rPr>
              <w:t>Importe en euros IVA excluido</w:t>
            </w:r>
          </w:p>
        </w:tc>
      </w:tr>
      <w:tr w:rsidR="00F32A4F" w:rsidRPr="008B5A3B" w:rsidTr="000A671D">
        <w:tc>
          <w:tcPr>
            <w:tcW w:w="6799" w:type="dxa"/>
            <w:vAlign w:val="center"/>
          </w:tcPr>
          <w:p w:rsidR="00F32A4F" w:rsidRPr="008B5A3B" w:rsidRDefault="00F32A4F" w:rsidP="000A671D">
            <w:pPr>
              <w:tabs>
                <w:tab w:val="left" w:pos="9071"/>
              </w:tabs>
              <w:spacing w:line="300" w:lineRule="auto"/>
              <w:jc w:val="both"/>
              <w:rPr>
                <w:rFonts w:ascii="Calibri" w:hAnsi="Calibri" w:cs="Calibri"/>
              </w:rPr>
            </w:pPr>
            <w:r w:rsidRPr="008B5A3B">
              <w:rPr>
                <w:rFonts w:ascii="Calibri" w:hAnsi="Calibri" w:cs="Calibri"/>
              </w:rPr>
              <w:t>Presupuesto obra (*)</w:t>
            </w:r>
          </w:p>
        </w:tc>
        <w:tc>
          <w:tcPr>
            <w:tcW w:w="1843" w:type="dxa"/>
            <w:vAlign w:val="center"/>
          </w:tcPr>
          <w:p w:rsidR="00F32A4F" w:rsidRPr="008B5A3B" w:rsidRDefault="00F32A4F" w:rsidP="000A671D">
            <w:pPr>
              <w:tabs>
                <w:tab w:val="left" w:pos="9071"/>
              </w:tabs>
              <w:spacing w:line="300" w:lineRule="auto"/>
              <w:jc w:val="right"/>
              <w:rPr>
                <w:rFonts w:ascii="Calibri" w:hAnsi="Calibri" w:cs="Calibri"/>
              </w:rPr>
            </w:pPr>
          </w:p>
        </w:tc>
      </w:tr>
      <w:tr w:rsidR="00F32A4F" w:rsidRPr="008B5A3B" w:rsidTr="000A671D">
        <w:tc>
          <w:tcPr>
            <w:tcW w:w="6799" w:type="dxa"/>
            <w:vAlign w:val="center"/>
          </w:tcPr>
          <w:p w:rsidR="00F32A4F" w:rsidRPr="008B5A3B" w:rsidRDefault="00F32A4F" w:rsidP="000A671D">
            <w:pPr>
              <w:tabs>
                <w:tab w:val="left" w:pos="9071"/>
              </w:tabs>
              <w:spacing w:line="300" w:lineRule="auto"/>
              <w:jc w:val="both"/>
              <w:rPr>
                <w:rFonts w:ascii="Calibri" w:hAnsi="Calibri" w:cs="Calibri"/>
              </w:rPr>
            </w:pPr>
            <w:r w:rsidRPr="008B5A3B">
              <w:rPr>
                <w:rFonts w:ascii="Calibri" w:hAnsi="Calibri" w:cs="Calibri"/>
              </w:rPr>
              <w:t>Presupuesto de honorarios de redacción de proyecto y dirección de obra</w:t>
            </w:r>
          </w:p>
        </w:tc>
        <w:tc>
          <w:tcPr>
            <w:tcW w:w="1843" w:type="dxa"/>
            <w:vAlign w:val="center"/>
          </w:tcPr>
          <w:p w:rsidR="00F32A4F" w:rsidRPr="008B5A3B" w:rsidRDefault="00F32A4F" w:rsidP="000A671D">
            <w:pPr>
              <w:tabs>
                <w:tab w:val="left" w:pos="9071"/>
              </w:tabs>
              <w:spacing w:line="300" w:lineRule="auto"/>
              <w:jc w:val="right"/>
              <w:rPr>
                <w:rFonts w:ascii="Calibri" w:hAnsi="Calibri" w:cs="Calibri"/>
              </w:rPr>
            </w:pPr>
          </w:p>
        </w:tc>
      </w:tr>
      <w:tr w:rsidR="00F32A4F" w:rsidRPr="008B5A3B" w:rsidTr="000A671D">
        <w:tc>
          <w:tcPr>
            <w:tcW w:w="6799" w:type="dxa"/>
            <w:vAlign w:val="center"/>
          </w:tcPr>
          <w:p w:rsidR="00F32A4F" w:rsidRPr="008B5A3B" w:rsidRDefault="00F32A4F" w:rsidP="000A671D">
            <w:pPr>
              <w:tabs>
                <w:tab w:val="left" w:pos="9071"/>
              </w:tabs>
              <w:spacing w:line="300" w:lineRule="auto"/>
              <w:jc w:val="both"/>
              <w:rPr>
                <w:rFonts w:ascii="Calibri" w:hAnsi="Calibri" w:cs="Calibri"/>
              </w:rPr>
            </w:pPr>
            <w:r w:rsidRPr="008B5A3B">
              <w:rPr>
                <w:rFonts w:ascii="Calibri" w:hAnsi="Calibri" w:cs="Calibri"/>
              </w:rPr>
              <w:t>Otras asistencias técnicas</w:t>
            </w:r>
          </w:p>
        </w:tc>
        <w:tc>
          <w:tcPr>
            <w:tcW w:w="1843" w:type="dxa"/>
            <w:vAlign w:val="center"/>
          </w:tcPr>
          <w:p w:rsidR="00F32A4F" w:rsidRPr="008B5A3B" w:rsidRDefault="00F32A4F" w:rsidP="000A671D">
            <w:pPr>
              <w:tabs>
                <w:tab w:val="left" w:pos="9071"/>
              </w:tabs>
              <w:spacing w:line="300" w:lineRule="auto"/>
              <w:jc w:val="right"/>
              <w:rPr>
                <w:rFonts w:ascii="Calibri" w:hAnsi="Calibri" w:cs="Calibri"/>
              </w:rPr>
            </w:pPr>
          </w:p>
        </w:tc>
      </w:tr>
      <w:tr w:rsidR="00F32A4F" w:rsidRPr="008B5A3B" w:rsidTr="000A671D">
        <w:tc>
          <w:tcPr>
            <w:tcW w:w="6799" w:type="dxa"/>
            <w:vAlign w:val="center"/>
          </w:tcPr>
          <w:p w:rsidR="00F32A4F" w:rsidRPr="008B5A3B" w:rsidRDefault="00F32A4F" w:rsidP="000A671D">
            <w:pPr>
              <w:tabs>
                <w:tab w:val="left" w:pos="9071"/>
              </w:tabs>
              <w:spacing w:line="300" w:lineRule="auto"/>
              <w:jc w:val="both"/>
              <w:rPr>
                <w:rFonts w:ascii="Calibri" w:hAnsi="Calibri" w:cs="Calibri"/>
              </w:rPr>
            </w:pPr>
            <w:r w:rsidRPr="008B5A3B">
              <w:rPr>
                <w:rFonts w:ascii="Calibri" w:hAnsi="Calibri" w:cs="Calibri"/>
              </w:rPr>
              <w:t>Afecciones</w:t>
            </w:r>
          </w:p>
        </w:tc>
        <w:tc>
          <w:tcPr>
            <w:tcW w:w="1843" w:type="dxa"/>
            <w:vAlign w:val="center"/>
          </w:tcPr>
          <w:p w:rsidR="00F32A4F" w:rsidRPr="008B5A3B" w:rsidRDefault="00F32A4F" w:rsidP="000A671D">
            <w:pPr>
              <w:tabs>
                <w:tab w:val="left" w:pos="9071"/>
              </w:tabs>
              <w:spacing w:line="300" w:lineRule="auto"/>
              <w:jc w:val="right"/>
              <w:rPr>
                <w:rFonts w:ascii="Calibri" w:hAnsi="Calibri" w:cs="Calibri"/>
              </w:rPr>
            </w:pPr>
          </w:p>
        </w:tc>
      </w:tr>
      <w:tr w:rsidR="00F32A4F" w:rsidRPr="008B5A3B" w:rsidTr="000A671D">
        <w:tc>
          <w:tcPr>
            <w:tcW w:w="6799" w:type="dxa"/>
            <w:vAlign w:val="center"/>
          </w:tcPr>
          <w:p w:rsidR="00F32A4F" w:rsidRPr="008B5A3B" w:rsidRDefault="00F32A4F" w:rsidP="000A671D">
            <w:pPr>
              <w:tabs>
                <w:tab w:val="left" w:pos="9071"/>
              </w:tabs>
              <w:spacing w:line="300" w:lineRule="auto"/>
              <w:jc w:val="right"/>
              <w:rPr>
                <w:rFonts w:ascii="Calibri" w:hAnsi="Calibri" w:cs="Calibri"/>
              </w:rPr>
            </w:pPr>
            <w:r w:rsidRPr="008B5A3B">
              <w:rPr>
                <w:rFonts w:ascii="Calibri" w:hAnsi="Calibri" w:cs="Calibri"/>
              </w:rPr>
              <w:t>Total presupuesto</w:t>
            </w:r>
          </w:p>
        </w:tc>
        <w:tc>
          <w:tcPr>
            <w:tcW w:w="1843" w:type="dxa"/>
            <w:vAlign w:val="center"/>
          </w:tcPr>
          <w:p w:rsidR="00F32A4F" w:rsidRPr="008B5A3B" w:rsidRDefault="00F32A4F" w:rsidP="000A671D">
            <w:pPr>
              <w:tabs>
                <w:tab w:val="left" w:pos="9071"/>
              </w:tabs>
              <w:spacing w:line="300" w:lineRule="auto"/>
              <w:jc w:val="right"/>
              <w:rPr>
                <w:rFonts w:ascii="Calibri" w:hAnsi="Calibri" w:cs="Calibri"/>
              </w:rPr>
            </w:pPr>
          </w:p>
        </w:tc>
      </w:tr>
    </w:tbl>
    <w:p w:rsidR="00F32A4F" w:rsidRPr="008B5A3B" w:rsidRDefault="00F32A4F" w:rsidP="00F32A4F">
      <w:pPr>
        <w:spacing w:after="160" w:line="259" w:lineRule="auto"/>
        <w:rPr>
          <w:rFonts w:asciiTheme="minorHAnsi" w:hAnsiTheme="minorHAnsi" w:cstheme="minorHAnsi"/>
          <w:bCs/>
          <w:spacing w:val="6"/>
          <w:sz w:val="22"/>
          <w:szCs w:val="22"/>
        </w:rPr>
      </w:pPr>
    </w:p>
    <w:p w:rsidR="00F32A4F" w:rsidRPr="008B5A3B" w:rsidRDefault="00F32A4F" w:rsidP="00F32A4F">
      <w:pPr>
        <w:spacing w:after="160" w:line="259" w:lineRule="auto"/>
        <w:jc w:val="both"/>
        <w:rPr>
          <w:rFonts w:asciiTheme="minorHAnsi" w:hAnsiTheme="minorHAnsi" w:cstheme="minorHAnsi"/>
          <w:bCs/>
          <w:spacing w:val="6"/>
          <w:sz w:val="22"/>
          <w:szCs w:val="22"/>
        </w:rPr>
      </w:pPr>
      <w:r w:rsidRPr="008B5A3B">
        <w:rPr>
          <w:rFonts w:asciiTheme="minorHAnsi" w:hAnsiTheme="minorHAnsi" w:cstheme="minorHAnsi"/>
          <w:bCs/>
          <w:spacing w:val="6"/>
          <w:sz w:val="22"/>
          <w:szCs w:val="22"/>
        </w:rPr>
        <w:t xml:space="preserve"> (*) Incluir el importe de reposición de pavimento para las inversiones de redes que no tengan una solicitud de Pavimentación con redes asociada.</w:t>
      </w:r>
      <w:bookmarkStart w:id="0" w:name="_GoBack"/>
      <w:bookmarkEnd w:id="0"/>
    </w:p>
    <w:sectPr w:rsidR="00F32A4F" w:rsidRPr="008B5A3B" w:rsidSect="005F72EF">
      <w:pgSz w:w="11906" w:h="16838"/>
      <w:pgMar w:top="1417"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E13E1"/>
    <w:multiLevelType w:val="hybridMultilevel"/>
    <w:tmpl w:val="A00A151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954D82"/>
    <w:multiLevelType w:val="hybridMultilevel"/>
    <w:tmpl w:val="94BED84C"/>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A4F"/>
    <w:rsid w:val="000B4748"/>
    <w:rsid w:val="00257147"/>
    <w:rsid w:val="005F72EF"/>
    <w:rsid w:val="007176E9"/>
    <w:rsid w:val="00A25111"/>
    <w:rsid w:val="00B24905"/>
    <w:rsid w:val="00B70A62"/>
    <w:rsid w:val="00BC3B29"/>
    <w:rsid w:val="00C63DFD"/>
    <w:rsid w:val="00D93574"/>
    <w:rsid w:val="00F32A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6676E"/>
  <w15:chartTrackingRefBased/>
  <w15:docId w15:val="{4F7D16BE-7E4C-41DB-A59F-36C99AD6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A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2A4F"/>
    <w:pPr>
      <w:ind w:left="720"/>
      <w:contextualSpacing/>
    </w:pPr>
  </w:style>
  <w:style w:type="table" w:styleId="Tablaconcuadrcula">
    <w:name w:val="Table Grid"/>
    <w:basedOn w:val="Tablanormal"/>
    <w:uiPriority w:val="39"/>
    <w:rsid w:val="00F32A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F32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32A4F"/>
    <w:rPr>
      <w:color w:val="808080"/>
    </w:rPr>
  </w:style>
  <w:style w:type="paragraph" w:styleId="Textodeglobo">
    <w:name w:val="Balloon Text"/>
    <w:basedOn w:val="Normal"/>
    <w:link w:val="TextodegloboCar"/>
    <w:semiHidden/>
    <w:unhideWhenUsed/>
    <w:rsid w:val="005F72EF"/>
    <w:rPr>
      <w:rFonts w:ascii="Segoe UI" w:hAnsi="Segoe UI" w:cs="Segoe UI"/>
      <w:sz w:val="18"/>
      <w:szCs w:val="18"/>
    </w:rPr>
  </w:style>
  <w:style w:type="character" w:customStyle="1" w:styleId="TextodegloboCar">
    <w:name w:val="Texto de globo Car"/>
    <w:basedOn w:val="Fuentedeprrafopredeter"/>
    <w:link w:val="Textodeglobo"/>
    <w:semiHidden/>
    <w:rsid w:val="005F7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4887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Porras Marina, Carlos Javier (Admón Local)</dc:creator>
  <cp:keywords/>
  <dc:description/>
  <cp:lastModifiedBy>Porras Marina, Carlos Javier (Admón Local)</cp:lastModifiedBy>
  <cp:revision>4</cp:revision>
  <cp:lastPrinted>2025-01-02T09:34:00Z</cp:lastPrinted>
  <dcterms:created xsi:type="dcterms:W3CDTF">2025-01-02T09:52:00Z</dcterms:created>
  <dcterms:modified xsi:type="dcterms:W3CDTF">2025-01-02T09:54:00Z</dcterms:modified>
</cp:coreProperties>
</file>