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87" w:rsidRDefault="005B4B87" w:rsidP="005B4B87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b/>
          <w:sz w:val="32"/>
          <w:szCs w:val="20"/>
          <w:u w:val="single"/>
          <w:lang w:eastAsia="en-US"/>
        </w:rPr>
      </w:pPr>
    </w:p>
    <w:p w:rsidR="005B4B87" w:rsidRDefault="005B4B87" w:rsidP="005B4B87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b/>
          <w:sz w:val="32"/>
          <w:szCs w:val="20"/>
          <w:u w:val="single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b/>
          <w:sz w:val="32"/>
          <w:szCs w:val="20"/>
          <w:u w:val="single"/>
        </w:rPr>
      </w:pPr>
      <w:r>
        <w:rPr>
          <w:rFonts w:ascii="Arial" w:hAnsi="Arial"/>
          <w:b/>
          <w:sz w:val="32"/>
          <w:u w:val="single"/>
        </w:rPr>
        <w:t>V. ERANSKINA</w:t>
      </w:r>
    </w:p>
    <w:p w:rsidR="005B4B87" w:rsidRPr="005B4B87" w:rsidRDefault="005B4B87" w:rsidP="005B4B87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b/>
          <w:sz w:val="32"/>
          <w:szCs w:val="20"/>
          <w:u w:val="single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before="2" w:after="0" w:line="240" w:lineRule="auto"/>
        <w:jc w:val="center"/>
        <w:rPr>
          <w:rFonts w:eastAsia="Arial MT" w:cs="Calibri"/>
          <w:b/>
          <w:sz w:val="24"/>
          <w:szCs w:val="20"/>
        </w:rPr>
      </w:pPr>
      <w:r>
        <w:rPr>
          <w:b/>
          <w:sz w:val="24"/>
        </w:rPr>
        <w:t>INTERES GATAZKARIK EZARI BURUZKO ADIERAZPENAREN EREDUA</w:t>
      </w:r>
    </w:p>
    <w:p w:rsidR="005B4B87" w:rsidRPr="005B4B87" w:rsidRDefault="005B4B87" w:rsidP="005B4B87">
      <w:pPr>
        <w:widowControl w:val="0"/>
        <w:autoSpaceDE w:val="0"/>
        <w:autoSpaceDN w:val="0"/>
        <w:spacing w:before="2" w:after="0" w:line="240" w:lineRule="auto"/>
        <w:jc w:val="center"/>
        <w:rPr>
          <w:rFonts w:eastAsia="Arial MT" w:cs="Calibri"/>
          <w:sz w:val="24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before="2" w:after="0" w:line="240" w:lineRule="auto"/>
        <w:rPr>
          <w:rFonts w:eastAsia="Arial MT" w:cs="Calibri"/>
          <w:sz w:val="17"/>
          <w:szCs w:val="20"/>
          <w:lang w:eastAsia="en-US"/>
        </w:rPr>
      </w:pPr>
    </w:p>
    <w:p w:rsidR="005B4B87" w:rsidRPr="005B4B87" w:rsidRDefault="005B4B87" w:rsidP="005B4B87">
      <w:pPr>
        <w:ind w:left="142" w:right="82"/>
        <w:jc w:val="both"/>
        <w:rPr>
          <w:rFonts w:cs="Calibri"/>
          <w:b/>
          <w:color w:val="FF0000"/>
          <w:sz w:val="28"/>
          <w:szCs w:val="18"/>
        </w:rPr>
      </w:pPr>
      <w:r>
        <w:rPr>
          <w:b/>
          <w:sz w:val="28"/>
        </w:rPr>
        <w:t xml:space="preserve">Osasuntsu egoteko jarduera zein ariketa fisikoaren preskripzio proiektuetan tresna digitalak ezartzeko, Nafarroako toki entitateei </w:t>
      </w:r>
      <w:proofErr w:type="spellStart"/>
      <w:r>
        <w:rPr>
          <w:b/>
          <w:sz w:val="28"/>
        </w:rPr>
        <w:t>dirulaguntzak</w:t>
      </w:r>
      <w:proofErr w:type="spellEnd"/>
      <w:r>
        <w:rPr>
          <w:b/>
          <w:sz w:val="28"/>
        </w:rPr>
        <w:t xml:space="preserve"> emateko deialdia.</w:t>
      </w:r>
    </w:p>
    <w:p w:rsidR="005B4B87" w:rsidRPr="005B4B87" w:rsidRDefault="005B4B87" w:rsidP="005B4B87">
      <w:pPr>
        <w:widowControl w:val="0"/>
        <w:autoSpaceDE w:val="0"/>
        <w:autoSpaceDN w:val="0"/>
        <w:spacing w:before="4" w:after="0" w:line="240" w:lineRule="auto"/>
        <w:ind w:left="142" w:right="82"/>
        <w:rPr>
          <w:rFonts w:eastAsia="Arial MT" w:cs="Calibri"/>
          <w:sz w:val="27"/>
          <w:szCs w:val="20"/>
          <w:lang w:eastAsia="en-US"/>
        </w:rPr>
      </w:pPr>
    </w:p>
    <w:p w:rsidR="005B4B87" w:rsidRPr="005B4B87" w:rsidRDefault="005B4B87" w:rsidP="005B4B87">
      <w:pPr>
        <w:ind w:left="142" w:right="82"/>
        <w:jc w:val="both"/>
        <w:rPr>
          <w:rFonts w:cs="Calibri"/>
          <w:sz w:val="20"/>
          <w:szCs w:val="20"/>
        </w:rPr>
      </w:pPr>
      <w:r>
        <w:rPr>
          <w:sz w:val="20"/>
        </w:rPr>
        <w:t xml:space="preserve">Izen-deiturak:   </w:t>
      </w:r>
    </w:p>
    <w:p w:rsidR="005B4B87" w:rsidRPr="005B4B87" w:rsidRDefault="005B4B87" w:rsidP="005B4B87">
      <w:pPr>
        <w:ind w:left="142" w:right="82"/>
        <w:jc w:val="both"/>
        <w:rPr>
          <w:rFonts w:cs="Calibri"/>
          <w:sz w:val="20"/>
          <w:szCs w:val="20"/>
        </w:rPr>
      </w:pPr>
      <w:proofErr w:type="spellStart"/>
      <w:r>
        <w:rPr>
          <w:sz w:val="20"/>
        </w:rPr>
        <w:t>NANa</w:t>
      </w:r>
      <w:proofErr w:type="spellEnd"/>
      <w:r>
        <w:rPr>
          <w:sz w:val="20"/>
        </w:rPr>
        <w:t>:</w:t>
      </w:r>
    </w:p>
    <w:p w:rsidR="005B4B87" w:rsidRPr="005B4B87" w:rsidRDefault="005B4B87" w:rsidP="005B4B87">
      <w:pPr>
        <w:ind w:left="142" w:right="82"/>
        <w:jc w:val="both"/>
        <w:rPr>
          <w:rFonts w:cs="Calibri"/>
          <w:sz w:val="20"/>
          <w:szCs w:val="20"/>
        </w:rPr>
      </w:pPr>
      <w:r>
        <w:rPr>
          <w:sz w:val="20"/>
        </w:rPr>
        <w:t xml:space="preserve">Toki entitate honetako alkatea den aldetik: </w:t>
      </w:r>
    </w:p>
    <w:p w:rsidR="005B4B87" w:rsidRPr="005B4B87" w:rsidRDefault="005B4B87" w:rsidP="005B4B87">
      <w:pPr>
        <w:ind w:left="142" w:right="82"/>
        <w:jc w:val="both"/>
        <w:rPr>
          <w:rFonts w:cs="Calibri"/>
          <w:sz w:val="20"/>
          <w:szCs w:val="20"/>
        </w:rPr>
      </w:pPr>
      <w:r>
        <w:rPr>
          <w:sz w:val="20"/>
        </w:rPr>
        <w:t>IFZ:</w:t>
      </w:r>
    </w:p>
    <w:p w:rsidR="005B4B87" w:rsidRPr="005B4B87" w:rsidRDefault="005B4B87" w:rsidP="005B4B87">
      <w:pPr>
        <w:ind w:left="142" w:right="82"/>
        <w:jc w:val="both"/>
        <w:rPr>
          <w:rFonts w:cs="Calibri"/>
          <w:sz w:val="20"/>
          <w:szCs w:val="20"/>
        </w:rPr>
      </w:pPr>
      <w:r>
        <w:rPr>
          <w:sz w:val="20"/>
        </w:rPr>
        <w:t xml:space="preserve">Egoitza fiskala: </w:t>
      </w:r>
    </w:p>
    <w:p w:rsidR="005B4B87" w:rsidRPr="005B4B87" w:rsidRDefault="005B4B87" w:rsidP="005B4B87">
      <w:pPr>
        <w:ind w:left="142" w:right="82"/>
        <w:jc w:val="both"/>
        <w:rPr>
          <w:rFonts w:cs="Calibri"/>
          <w:sz w:val="20"/>
          <w:szCs w:val="20"/>
        </w:rPr>
      </w:pPr>
    </w:p>
    <w:p w:rsidR="005B4B87" w:rsidRPr="005B4B87" w:rsidRDefault="005B4B87" w:rsidP="005B4B87">
      <w:pPr>
        <w:ind w:left="142" w:right="82"/>
        <w:jc w:val="both"/>
        <w:rPr>
          <w:rFonts w:cs="Calibri"/>
          <w:sz w:val="20"/>
          <w:szCs w:val="20"/>
        </w:rPr>
      </w:pPr>
      <w:r>
        <w:rPr>
          <w:sz w:val="20"/>
        </w:rPr>
        <w:t xml:space="preserve">Toki entitate horrek eskuratu ditu </w:t>
      </w:r>
      <w:proofErr w:type="spellStart"/>
      <w:r>
        <w:rPr>
          <w:sz w:val="20"/>
        </w:rPr>
        <w:t>SEEPtik</w:t>
      </w:r>
      <w:proofErr w:type="spellEnd"/>
      <w:r>
        <w:rPr>
          <w:sz w:val="20"/>
        </w:rPr>
        <w:t xml:space="preserve"> datozen baliabideekin finantzatutako laguntzak, 26. osagaian (</w:t>
      </w:r>
      <w:r>
        <w:rPr>
          <w:i/>
          <w:iCs/>
          <w:sz w:val="20"/>
        </w:rPr>
        <w:t>“C.26. Kirolaren sektorea sustatzea. I01.P02. Kirolaren Sektorea Digitalizatzeko Plana”</w:t>
      </w:r>
      <w:r>
        <w:rPr>
          <w:sz w:val="20"/>
        </w:rPr>
        <w:t>) zehaztutako helburuak lortzeko beharrezkoak diren jarduketak garatzeko. Eta goian aipatutako kontratazio/</w:t>
      </w:r>
      <w:proofErr w:type="spellStart"/>
      <w:r>
        <w:rPr>
          <w:sz w:val="20"/>
        </w:rPr>
        <w:t>dirulaguntza</w:t>
      </w:r>
      <w:proofErr w:type="spellEnd"/>
      <w:r>
        <w:rPr>
          <w:sz w:val="20"/>
        </w:rPr>
        <w:t xml:space="preserve"> prozeduran inpartzialtasuna bermatzeko asmoz, behean sinatzen dutenek, espedientea prestatu eta tramitatzeko prozesuan parte hartzen dutenez, honako hau adierazten dute:</w:t>
      </w:r>
    </w:p>
    <w:p w:rsidR="005B4B87" w:rsidRPr="005B4B87" w:rsidRDefault="005B4B87" w:rsidP="005B4B87">
      <w:pPr>
        <w:spacing w:before="154"/>
        <w:ind w:left="142" w:right="82"/>
        <w:jc w:val="both"/>
        <w:rPr>
          <w:rFonts w:cs="Calibri"/>
          <w:b/>
          <w:spacing w:val="-1"/>
          <w:sz w:val="20"/>
          <w:szCs w:val="20"/>
        </w:rPr>
      </w:pPr>
      <w:r>
        <w:rPr>
          <w:b/>
          <w:sz w:val="20"/>
        </w:rPr>
        <w:t xml:space="preserve">Lehenbizikoa. </w:t>
      </w:r>
    </w:p>
    <w:p w:rsidR="005B4B87" w:rsidRPr="005B4B87" w:rsidRDefault="005B4B87" w:rsidP="005B4B87">
      <w:pPr>
        <w:spacing w:before="154"/>
        <w:ind w:left="142" w:right="82"/>
        <w:jc w:val="both"/>
        <w:rPr>
          <w:rFonts w:cs="Calibri"/>
          <w:sz w:val="20"/>
          <w:szCs w:val="20"/>
        </w:rPr>
      </w:pPr>
      <w:r>
        <w:rPr>
          <w:sz w:val="20"/>
        </w:rPr>
        <w:t>Honako hauen berri dutela:</w:t>
      </w:r>
    </w:p>
    <w:p w:rsidR="005B4B87" w:rsidRPr="005B4B87" w:rsidRDefault="005B4B87" w:rsidP="005B4B87">
      <w:pPr>
        <w:widowControl w:val="0"/>
        <w:numPr>
          <w:ilvl w:val="0"/>
          <w:numId w:val="16"/>
        </w:numPr>
        <w:tabs>
          <w:tab w:val="left" w:pos="331"/>
        </w:tabs>
        <w:autoSpaceDE w:val="0"/>
        <w:autoSpaceDN w:val="0"/>
        <w:spacing w:before="185" w:after="0" w:line="237" w:lineRule="auto"/>
        <w:ind w:left="142" w:right="82"/>
        <w:jc w:val="both"/>
        <w:rPr>
          <w:rFonts w:cs="Calibri"/>
          <w:i/>
          <w:sz w:val="20"/>
          <w:szCs w:val="20"/>
        </w:rPr>
      </w:pPr>
      <w:r>
        <w:rPr>
          <w:sz w:val="20"/>
        </w:rPr>
        <w:t xml:space="preserve">Europako Parlamentuaren eta Kontseiluaren uztailaren 18ko 2018/1046 (EB, Euratom) Erregelamenduak (EBko finantza erregelamendua) 61.3 artikuluan (“Interes gatazka”) ezartzen duenez, </w:t>
      </w:r>
      <w:r>
        <w:rPr>
          <w:i/>
          <w:iCs/>
          <w:sz w:val="20"/>
        </w:rPr>
        <w:t>“interes gatazka egonen da funtzioen betetze inpartziala eta objektiboa arriskuan jartzen denean arrazoi familiarrengatik, afektiboengatik, kidetasun politiko edo nazionalengatik, interes ekonomikoengatik edo interes pertsonaleko zuzeneko edo zeharkako edozein arrazoirengatik</w:t>
      </w:r>
      <w:r>
        <w:rPr>
          <w:sz w:val="20"/>
        </w:rPr>
        <w:t>”.</w:t>
      </w:r>
    </w:p>
    <w:p w:rsidR="005B4B87" w:rsidRPr="005B4B87" w:rsidRDefault="005B4B87" w:rsidP="005B4B87">
      <w:pPr>
        <w:widowControl w:val="0"/>
        <w:autoSpaceDE w:val="0"/>
        <w:autoSpaceDN w:val="0"/>
        <w:spacing w:before="6" w:after="0" w:line="240" w:lineRule="auto"/>
        <w:ind w:left="142" w:right="82"/>
        <w:rPr>
          <w:rFonts w:eastAsia="Arial MT" w:cs="Calibri"/>
          <w:i/>
          <w:sz w:val="20"/>
          <w:szCs w:val="20"/>
          <w:lang w:eastAsia="en-US"/>
        </w:rPr>
      </w:pP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  <w:r>
        <w:rPr>
          <w:sz w:val="20"/>
        </w:rPr>
        <w:t xml:space="preserve">2. Sektore Publikoko Kontratuei buruzko azaroaren 8ko 9/2017 Legeak Europako Parlamentuaren eta Kontseiluaren 2014ko otsailaren 26ko 2014/23 (EB) eta 2014/24 (EB) Zuzentarauen transposizioa egiten du Espainiako ordenamendu juridikora. Bada, lege horren 64. artikuluak, «Ustelkeriaren aurkako borroka eta interes-gatazkak </w:t>
      </w:r>
      <w:proofErr w:type="spellStart"/>
      <w:r>
        <w:rPr>
          <w:sz w:val="20"/>
        </w:rPr>
        <w:t>prebenitzea</w:t>
      </w:r>
      <w:proofErr w:type="spellEnd"/>
      <w:r>
        <w:rPr>
          <w:sz w:val="20"/>
        </w:rPr>
        <w:t xml:space="preserve">» izenekoak, honela definitzen du interes gatazka: «Kontratazio organoaren zerbitzura dauden langileek, lizitazio prozeduraren garapenean parte hartzen dutenek edo prozeduraren emaitzan eragina izan </w:t>
      </w:r>
      <w:proofErr w:type="spellStart"/>
      <w:r>
        <w:rPr>
          <w:sz w:val="20"/>
        </w:rPr>
        <w:t>dezaketenek</w:t>
      </w:r>
      <w:proofErr w:type="spellEnd"/>
      <w:r>
        <w:rPr>
          <w:sz w:val="20"/>
        </w:rPr>
        <w:t xml:space="preserve">, zuzenean edo zeharka interes finantzario, ekonomiko edo pertsonala badute, eta interes horrek kontratazio prozeduraren testuinguruan haien inpartzialtasuna eta independentzia arriskuan jartzen duela eman </w:t>
      </w:r>
      <w:proofErr w:type="spellStart"/>
      <w:r>
        <w:rPr>
          <w:sz w:val="20"/>
        </w:rPr>
        <w:t>badezake</w:t>
      </w:r>
      <w:proofErr w:type="spellEnd"/>
      <w:r>
        <w:rPr>
          <w:sz w:val="20"/>
        </w:rPr>
        <w:t>».</w:t>
      </w: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</w:p>
    <w:p w:rsid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  <w:r>
        <w:rPr>
          <w:sz w:val="20"/>
        </w:rPr>
        <w:t xml:space="preserve">3. 2023rako Estatuko Aurrekontu Orokorrei buruzko abenduaren 23ko 31/2022 Legearen ehun eta hamabigarren xedapen gehigarriaren 3. apartatuak honako hau ezartzen du: «Interes gatazkaren arriskuaren analisi sistematiko eta automatizatua aplikatuko zaie erakunde erabakitzaileen, </w:t>
      </w:r>
      <w:r>
        <w:rPr>
          <w:sz w:val="20"/>
        </w:rPr>
        <w:lastRenderedPageBreak/>
        <w:t xml:space="preserve">betearazleen eta instrumentalen zerbitzura dauden enplegatu publikoei eta gainerako langileei, baldin eta banaka edo kide anitzeko organoetako kide gisa parte hartzen badute kontratuak adjudikatzeko edo </w:t>
      </w:r>
      <w:proofErr w:type="spellStart"/>
      <w:r>
        <w:rPr>
          <w:sz w:val="20"/>
        </w:rPr>
        <w:t>dirulaguntzak</w:t>
      </w:r>
      <w:proofErr w:type="spellEnd"/>
      <w:r>
        <w:rPr>
          <w:sz w:val="20"/>
        </w:rPr>
        <w:t xml:space="preserve"> emateko deskribatutako prozeduretan». </w:t>
      </w:r>
    </w:p>
    <w:p w:rsid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</w:p>
    <w:p w:rsid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  <w:r>
        <w:rPr>
          <w:sz w:val="20"/>
        </w:rPr>
        <w:t>4. Aipatutako ehun eta hamabigarren xedapen gehigarriaren 4. apartatuak honako hau ezartzen du:</w:t>
      </w: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  <w:r>
        <w:rPr>
          <w:sz w:val="20"/>
        </w:rPr>
        <w:t>–   «Tresna informatikoaren bidez, familia harremanak edo sozietate loturak aztertuko dira, zuzenak zein zeharkakoak, baldin eta aurreko apartatuan aipatzen diren pertsonen eta prozedura bakoitzeko parte-hartzaileen artean interes gatazka sor dezakeen interes pertsonal edo ekonomikoa badago».</w:t>
      </w: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  <w:r>
        <w:rPr>
          <w:sz w:val="20"/>
        </w:rPr>
        <w:t>–   «Harremanak edo loturak identifikatzeko, tresnak honako datu hauek jasoko ditu, besteak beste: otsailaren 12ko 241/2021 (EB) Erregelamenduaren 22.2.d.iii artikuluan aipatzen diren pertsona juridikoen titulartasun errealeko datuak, Zerga Administrazioko Estatu Agentziaren datu baseetan daudenak, eta notarioen eta erregistratzaileen elkargoekin sinatutako hitzarmenen bidez lortutakoak».</w:t>
      </w:r>
    </w:p>
    <w:p w:rsidR="005B4B87" w:rsidRPr="005B4B87" w:rsidRDefault="005B4B87" w:rsidP="005B4B87">
      <w:pPr>
        <w:widowControl w:val="0"/>
        <w:autoSpaceDE w:val="0"/>
        <w:autoSpaceDN w:val="0"/>
        <w:spacing w:after="0" w:line="261" w:lineRule="auto"/>
        <w:ind w:left="142" w:right="82"/>
        <w:jc w:val="both"/>
        <w:rPr>
          <w:rFonts w:eastAsia="Arial MT" w:cs="Calibri"/>
          <w:b/>
          <w:sz w:val="20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61" w:lineRule="auto"/>
        <w:ind w:left="142" w:right="82"/>
        <w:jc w:val="both"/>
        <w:rPr>
          <w:rFonts w:eastAsia="Arial MT" w:cs="Calibri"/>
          <w:b/>
          <w:sz w:val="20"/>
          <w:szCs w:val="20"/>
        </w:rPr>
      </w:pPr>
      <w:r>
        <w:rPr>
          <w:b/>
          <w:sz w:val="20"/>
        </w:rPr>
        <w:t>Bigarrena.</w:t>
      </w: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  <w:r>
        <w:rPr>
          <w:sz w:val="20"/>
        </w:rPr>
        <w:t xml:space="preserve">Adierazpen hau sinatzen den unean, eta eskura duen informazioaren arabera, ez dagoela interes gatazkatzat jo daitekeen ezein egoeratan, ehun eta hamabigarren xedapen gehigarriaren laugarren apartatuan aurreikusitakoaren arabera, </w:t>
      </w:r>
      <w:proofErr w:type="spellStart"/>
      <w:r>
        <w:rPr>
          <w:sz w:val="20"/>
        </w:rPr>
        <w:t>dirulaguntzak</w:t>
      </w:r>
      <w:proofErr w:type="spellEnd"/>
      <w:r>
        <w:rPr>
          <w:sz w:val="20"/>
        </w:rPr>
        <w:t xml:space="preserve"> lizitatzeko/emateko prozeduran eragina izan </w:t>
      </w:r>
      <w:proofErr w:type="spellStart"/>
      <w:r>
        <w:rPr>
          <w:sz w:val="20"/>
        </w:rPr>
        <w:t>dezakeenik</w:t>
      </w:r>
      <w:proofErr w:type="spellEnd"/>
      <w:r>
        <w:rPr>
          <w:sz w:val="20"/>
        </w:rPr>
        <w:t>.</w:t>
      </w:r>
    </w:p>
    <w:p w:rsidR="005B4B87" w:rsidRPr="005B4B87" w:rsidRDefault="005B4B87" w:rsidP="005B4B87">
      <w:pPr>
        <w:widowControl w:val="0"/>
        <w:autoSpaceDE w:val="0"/>
        <w:autoSpaceDN w:val="0"/>
        <w:spacing w:after="0" w:line="261" w:lineRule="auto"/>
        <w:ind w:left="142" w:right="82"/>
        <w:jc w:val="both"/>
        <w:rPr>
          <w:rFonts w:eastAsia="Arial MT" w:cs="Calibri"/>
          <w:b/>
          <w:sz w:val="20"/>
          <w:szCs w:val="20"/>
        </w:rPr>
      </w:pPr>
      <w:r>
        <w:rPr>
          <w:b/>
          <w:sz w:val="20"/>
        </w:rPr>
        <w:t xml:space="preserve">Hirugarrena. </w:t>
      </w: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  <w:r>
        <w:rPr>
          <w:sz w:val="20"/>
        </w:rPr>
        <w:t>Konpromisoa hartzen dutela kontratazio organoari / ebaluazio batzordeari lehenbailehen jakinarazteko prozeduraren edozein unetan ezagutu eta gerta litekeen edozein interes gatazka.</w:t>
      </w:r>
    </w:p>
    <w:p w:rsidR="005B4B87" w:rsidRPr="005B4B87" w:rsidRDefault="005B4B87" w:rsidP="005B4B87">
      <w:pPr>
        <w:widowControl w:val="0"/>
        <w:autoSpaceDE w:val="0"/>
        <w:autoSpaceDN w:val="0"/>
        <w:spacing w:after="0" w:line="261" w:lineRule="auto"/>
        <w:ind w:left="142" w:right="82"/>
        <w:jc w:val="both"/>
        <w:rPr>
          <w:rFonts w:eastAsia="Arial MT" w:cs="Calibri"/>
          <w:b/>
          <w:sz w:val="20"/>
          <w:szCs w:val="20"/>
        </w:rPr>
      </w:pPr>
      <w:r>
        <w:rPr>
          <w:b/>
          <w:sz w:val="20"/>
        </w:rPr>
        <w:t xml:space="preserve">Laugarrena. </w:t>
      </w:r>
    </w:p>
    <w:p w:rsidR="005B4B87" w:rsidRPr="005B4B87" w:rsidRDefault="005B4B87" w:rsidP="005B4B87">
      <w:pPr>
        <w:spacing w:before="120" w:after="120" w:line="276" w:lineRule="auto"/>
        <w:ind w:left="142" w:right="79"/>
        <w:contextualSpacing/>
        <w:jc w:val="both"/>
        <w:rPr>
          <w:rFonts w:cs="Calibri"/>
          <w:sz w:val="20"/>
          <w:szCs w:val="20"/>
        </w:rPr>
      </w:pPr>
      <w:r>
        <w:rPr>
          <w:sz w:val="20"/>
        </w:rPr>
        <w:t>Badakitela ezen, adierazten bada interes gatazkarik ez dagoela eta frogatzen bada hori faltsua dela, horrek aplikatu beharreko araudiak ezartzen dituen ondorioak izanen dituela diziplina, administrazio edo justizia aldetik.</w:t>
      </w:r>
    </w:p>
    <w:p w:rsidR="005B4B87" w:rsidRPr="005B4B87" w:rsidRDefault="005B4B87" w:rsidP="005B4B87">
      <w:pPr>
        <w:spacing w:line="261" w:lineRule="auto"/>
        <w:ind w:left="142" w:right="82"/>
        <w:jc w:val="both"/>
        <w:rPr>
          <w:rFonts w:cs="Calibri"/>
          <w:sz w:val="20"/>
          <w:szCs w:val="20"/>
        </w:rPr>
      </w:pPr>
    </w:p>
    <w:p w:rsidR="005B4B87" w:rsidRPr="005B4B87" w:rsidRDefault="005B4B87" w:rsidP="005B4B87">
      <w:pPr>
        <w:ind w:left="142" w:right="82"/>
        <w:jc w:val="center"/>
        <w:rPr>
          <w:rFonts w:cs="Calibri"/>
          <w:sz w:val="20"/>
          <w:szCs w:val="20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61" w:lineRule="auto"/>
        <w:ind w:left="142" w:right="82"/>
        <w:jc w:val="both"/>
        <w:rPr>
          <w:rFonts w:eastAsia="Arial MT" w:cs="Calibri"/>
          <w:sz w:val="20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40" w:lineRule="auto"/>
        <w:ind w:left="142" w:right="82"/>
        <w:jc w:val="center"/>
        <w:rPr>
          <w:rFonts w:eastAsia="Arial MT" w:cs="Calibri"/>
          <w:sz w:val="20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40" w:lineRule="auto"/>
        <w:ind w:left="142" w:right="82"/>
        <w:jc w:val="center"/>
        <w:rPr>
          <w:rFonts w:eastAsia="Arial MT" w:cs="Calibri"/>
          <w:sz w:val="20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40" w:lineRule="auto"/>
        <w:ind w:left="142" w:right="82"/>
        <w:jc w:val="center"/>
        <w:rPr>
          <w:rFonts w:eastAsia="Arial MT" w:cs="Calibri"/>
          <w:spacing w:val="-1"/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74262">
        <w:rPr>
          <w:sz w:val="20"/>
        </w:rPr>
        <w:t>Iruñean, 2025</w:t>
      </w:r>
      <w:bookmarkStart w:id="0" w:name="_GoBack"/>
      <w:bookmarkEnd w:id="0"/>
      <w:r>
        <w:rPr>
          <w:sz w:val="20"/>
        </w:rPr>
        <w:t xml:space="preserve">ko             aren       (e)(a)n. </w:t>
      </w:r>
    </w:p>
    <w:p w:rsidR="005B4B87" w:rsidRPr="005B4B87" w:rsidRDefault="005B4B87" w:rsidP="005B4B87">
      <w:pPr>
        <w:widowControl w:val="0"/>
        <w:autoSpaceDE w:val="0"/>
        <w:autoSpaceDN w:val="0"/>
        <w:spacing w:after="0" w:line="240" w:lineRule="auto"/>
        <w:ind w:left="142" w:right="82"/>
        <w:jc w:val="center"/>
        <w:rPr>
          <w:rFonts w:eastAsia="Arial MT" w:cs="Calibri"/>
          <w:spacing w:val="-1"/>
          <w:sz w:val="20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40" w:lineRule="auto"/>
        <w:ind w:left="142" w:right="82"/>
        <w:jc w:val="center"/>
        <w:rPr>
          <w:rFonts w:eastAsia="Arial MT" w:cs="Calibri"/>
          <w:sz w:val="20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40" w:lineRule="auto"/>
        <w:ind w:left="142" w:right="82"/>
        <w:jc w:val="center"/>
        <w:rPr>
          <w:rFonts w:eastAsia="Arial MT" w:cs="Calibri"/>
          <w:sz w:val="20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40" w:lineRule="auto"/>
        <w:ind w:left="2990" w:right="2991"/>
        <w:jc w:val="center"/>
        <w:rPr>
          <w:rFonts w:eastAsia="Arial MT" w:cs="Calibri"/>
          <w:sz w:val="20"/>
          <w:szCs w:val="20"/>
          <w:lang w:eastAsia="en-US"/>
        </w:rPr>
      </w:pPr>
    </w:p>
    <w:p w:rsidR="005B4B87" w:rsidRPr="005B4B87" w:rsidRDefault="005B4B87" w:rsidP="005B4B87">
      <w:pPr>
        <w:widowControl w:val="0"/>
        <w:autoSpaceDE w:val="0"/>
        <w:autoSpaceDN w:val="0"/>
        <w:spacing w:after="0" w:line="240" w:lineRule="auto"/>
        <w:ind w:left="2990" w:right="2991"/>
        <w:jc w:val="center"/>
        <w:rPr>
          <w:rFonts w:eastAsia="Arial MT" w:cs="Calibri"/>
          <w:sz w:val="20"/>
          <w:szCs w:val="20"/>
          <w:lang w:eastAsia="en-US"/>
        </w:rPr>
      </w:pPr>
    </w:p>
    <w:p w:rsidR="005B4B87" w:rsidRPr="005B4B87" w:rsidRDefault="005B4B87" w:rsidP="005B4B87">
      <w:pPr>
        <w:ind w:firstLine="708"/>
        <w:jc w:val="center"/>
        <w:rPr>
          <w:rFonts w:cs="Calibri"/>
          <w:b/>
        </w:rPr>
      </w:pPr>
    </w:p>
    <w:p w:rsidR="005B4B87" w:rsidRPr="005B4B87" w:rsidRDefault="005B4B87" w:rsidP="005B4B87">
      <w:pPr>
        <w:ind w:firstLine="708"/>
        <w:jc w:val="center"/>
        <w:rPr>
          <w:rFonts w:cs="Calibri"/>
          <w:b/>
        </w:rPr>
      </w:pPr>
    </w:p>
    <w:p w:rsidR="00995960" w:rsidRDefault="00995960"/>
    <w:sectPr w:rsidR="009959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01" w:rsidRDefault="00D35B01" w:rsidP="00742EC9">
      <w:r>
        <w:separator/>
      </w:r>
    </w:p>
  </w:endnote>
  <w:endnote w:type="continuationSeparator" w:id="0">
    <w:p w:rsidR="00D35B01" w:rsidRDefault="00D35B01" w:rsidP="0074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01" w:rsidRDefault="00D35B01" w:rsidP="00742EC9">
      <w:r>
        <w:separator/>
      </w:r>
    </w:p>
  </w:footnote>
  <w:footnote w:type="continuationSeparator" w:id="0">
    <w:p w:rsidR="00D35B01" w:rsidRDefault="00D35B01" w:rsidP="0074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C9" w:rsidRDefault="00F92C1D" w:rsidP="00742EC9">
    <w:pPr>
      <w:pStyle w:val="Encabezado"/>
      <w:ind w:left="-794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4272915</wp:posOffset>
          </wp:positionH>
          <wp:positionV relativeFrom="paragraph">
            <wp:posOffset>8255</wp:posOffset>
          </wp:positionV>
          <wp:extent cx="1957705" cy="574040"/>
          <wp:effectExtent l="0" t="0" r="4445" b="0"/>
          <wp:wrapThrough wrapText="bothSides">
            <wp:wrapPolygon edited="0">
              <wp:start x="0" y="0"/>
              <wp:lineTo x="0" y="20788"/>
              <wp:lineTo x="21439" y="20788"/>
              <wp:lineTo x="21439" y="0"/>
              <wp:lineTo x="0" y="0"/>
            </wp:wrapPolygon>
          </wp:wrapThrough>
          <wp:docPr id="4" name="Imagen 4" descr="K:\ENTIDADES\ACONTECIMIENTOS\2023\Acontecimientos femeninos EUROPA\3. Orden Foral\Anexos\Logos Europa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K:\ENTIDADES\ACONTECIMIENTOS\2023\Acontecimientos femeninos EUROPA\3. Orden Foral\Anexos\Logos Europa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7349" w:dyaOrig="16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25pt;height:43.5pt">
          <v:imagedata r:id="rId2" o:title=""/>
        </v:shape>
        <o:OLEObject Type="Embed" ProgID="AcroExch.Document.DC" ShapeID="_x0000_i1025" DrawAspect="Content" ObjectID="_1802851219" r:id="rId3"/>
      </w:object>
    </w:r>
    <w:r>
      <w:rPr>
        <w:noProof/>
        <w:lang w:val="es-ES"/>
      </w:rPr>
      <w:drawing>
        <wp:inline distT="0" distB="0" distL="0" distR="0" wp14:anchorId="68B62281">
          <wp:extent cx="2057400" cy="556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EB"/>
    <w:multiLevelType w:val="hybridMultilevel"/>
    <w:tmpl w:val="F33A851C"/>
    <w:lvl w:ilvl="0" w:tplc="2CB229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1DA"/>
    <w:multiLevelType w:val="hybridMultilevel"/>
    <w:tmpl w:val="552497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E34"/>
    <w:multiLevelType w:val="hybridMultilevel"/>
    <w:tmpl w:val="3E64D76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AA1EB8"/>
    <w:multiLevelType w:val="hybridMultilevel"/>
    <w:tmpl w:val="59F475DA"/>
    <w:lvl w:ilvl="0" w:tplc="A31AC788">
      <w:start w:val="1"/>
      <w:numFmt w:val="decimal"/>
      <w:lvlText w:val="%1."/>
      <w:lvlJc w:val="left"/>
      <w:pPr>
        <w:ind w:left="112" w:hanging="219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53AA116E">
      <w:start w:val="1"/>
      <w:numFmt w:val="lowerLetter"/>
      <w:lvlText w:val="%2)"/>
      <w:lvlJc w:val="left"/>
      <w:pPr>
        <w:ind w:left="832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FA38F002">
      <w:numFmt w:val="bullet"/>
      <w:lvlText w:val="•"/>
      <w:lvlJc w:val="left"/>
      <w:pPr>
        <w:ind w:left="1905" w:hanging="361"/>
      </w:pPr>
      <w:rPr>
        <w:rFonts w:hint="default"/>
        <w:lang w:val="es-ES" w:eastAsia="en-US" w:bidi="ar-SA"/>
      </w:rPr>
    </w:lvl>
    <w:lvl w:ilvl="3" w:tplc="104E0318">
      <w:numFmt w:val="bullet"/>
      <w:lvlText w:val="•"/>
      <w:lvlJc w:val="left"/>
      <w:pPr>
        <w:ind w:left="2970" w:hanging="361"/>
      </w:pPr>
      <w:rPr>
        <w:rFonts w:hint="default"/>
        <w:lang w:val="es-ES" w:eastAsia="en-US" w:bidi="ar-SA"/>
      </w:rPr>
    </w:lvl>
    <w:lvl w:ilvl="4" w:tplc="EDDA5796">
      <w:numFmt w:val="bullet"/>
      <w:lvlText w:val="•"/>
      <w:lvlJc w:val="left"/>
      <w:pPr>
        <w:ind w:left="4035" w:hanging="361"/>
      </w:pPr>
      <w:rPr>
        <w:rFonts w:hint="default"/>
        <w:lang w:val="es-ES" w:eastAsia="en-US" w:bidi="ar-SA"/>
      </w:rPr>
    </w:lvl>
    <w:lvl w:ilvl="5" w:tplc="9D60D852">
      <w:numFmt w:val="bullet"/>
      <w:lvlText w:val="•"/>
      <w:lvlJc w:val="left"/>
      <w:pPr>
        <w:ind w:left="5100" w:hanging="361"/>
      </w:pPr>
      <w:rPr>
        <w:rFonts w:hint="default"/>
        <w:lang w:val="es-ES" w:eastAsia="en-US" w:bidi="ar-SA"/>
      </w:rPr>
    </w:lvl>
    <w:lvl w:ilvl="6" w:tplc="3E92E038">
      <w:numFmt w:val="bullet"/>
      <w:lvlText w:val="•"/>
      <w:lvlJc w:val="left"/>
      <w:pPr>
        <w:ind w:left="6165" w:hanging="361"/>
      </w:pPr>
      <w:rPr>
        <w:rFonts w:hint="default"/>
        <w:lang w:val="es-ES" w:eastAsia="en-US" w:bidi="ar-SA"/>
      </w:rPr>
    </w:lvl>
    <w:lvl w:ilvl="7" w:tplc="490A838A">
      <w:numFmt w:val="bullet"/>
      <w:lvlText w:val="•"/>
      <w:lvlJc w:val="left"/>
      <w:pPr>
        <w:ind w:left="7230" w:hanging="361"/>
      </w:pPr>
      <w:rPr>
        <w:rFonts w:hint="default"/>
        <w:lang w:val="es-ES" w:eastAsia="en-US" w:bidi="ar-SA"/>
      </w:rPr>
    </w:lvl>
    <w:lvl w:ilvl="8" w:tplc="A852D84C">
      <w:numFmt w:val="bullet"/>
      <w:lvlText w:val="•"/>
      <w:lvlJc w:val="left"/>
      <w:pPr>
        <w:ind w:left="829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F0A6EFD"/>
    <w:multiLevelType w:val="hybridMultilevel"/>
    <w:tmpl w:val="A43CF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27A"/>
    <w:multiLevelType w:val="hybridMultilevel"/>
    <w:tmpl w:val="1E2A9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7CBE"/>
    <w:multiLevelType w:val="multilevel"/>
    <w:tmpl w:val="F878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A16AF2"/>
    <w:multiLevelType w:val="hybridMultilevel"/>
    <w:tmpl w:val="8DDA89F6"/>
    <w:lvl w:ilvl="0" w:tplc="26805F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D33E9"/>
    <w:multiLevelType w:val="hybridMultilevel"/>
    <w:tmpl w:val="E58AA006"/>
    <w:lvl w:ilvl="0" w:tplc="B29C989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48791B"/>
    <w:multiLevelType w:val="hybridMultilevel"/>
    <w:tmpl w:val="CB4E1622"/>
    <w:lvl w:ilvl="0" w:tplc="DF16D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E0CB5"/>
    <w:multiLevelType w:val="hybridMultilevel"/>
    <w:tmpl w:val="F75C4EC4"/>
    <w:lvl w:ilvl="0" w:tplc="0C0A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1" w15:restartNumberingAfterBreak="0">
    <w:nsid w:val="64F274CB"/>
    <w:multiLevelType w:val="hybridMultilevel"/>
    <w:tmpl w:val="D4EAAF58"/>
    <w:lvl w:ilvl="0" w:tplc="6ECAA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D3D15"/>
    <w:multiLevelType w:val="hybridMultilevel"/>
    <w:tmpl w:val="1C44BB48"/>
    <w:lvl w:ilvl="0" w:tplc="3314F27A">
      <w:start w:val="1"/>
      <w:numFmt w:val="lowerLetter"/>
      <w:lvlText w:val="%1)"/>
      <w:lvlJc w:val="left"/>
      <w:pPr>
        <w:ind w:left="6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 w15:restartNumberingAfterBreak="0">
    <w:nsid w:val="6AB86A97"/>
    <w:multiLevelType w:val="hybridMultilevel"/>
    <w:tmpl w:val="425890AE"/>
    <w:lvl w:ilvl="0" w:tplc="446EB3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C3C92"/>
    <w:multiLevelType w:val="hybridMultilevel"/>
    <w:tmpl w:val="C17C4D0C"/>
    <w:lvl w:ilvl="0" w:tplc="7BDE9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62123D"/>
    <w:multiLevelType w:val="hybridMultilevel"/>
    <w:tmpl w:val="7E667F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12"/>
  </w:num>
  <w:num w:numId="7">
    <w:abstractNumId w:val="5"/>
  </w:num>
  <w:num w:numId="8">
    <w:abstractNumId w:val="15"/>
  </w:num>
  <w:num w:numId="9">
    <w:abstractNumId w:val="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27"/>
    <w:rsid w:val="00005B14"/>
    <w:rsid w:val="00391F76"/>
    <w:rsid w:val="003C78C3"/>
    <w:rsid w:val="003F19D5"/>
    <w:rsid w:val="00434B27"/>
    <w:rsid w:val="005B4B87"/>
    <w:rsid w:val="005E24F5"/>
    <w:rsid w:val="00742EC9"/>
    <w:rsid w:val="007C44EF"/>
    <w:rsid w:val="00995960"/>
    <w:rsid w:val="00C17877"/>
    <w:rsid w:val="00C74262"/>
    <w:rsid w:val="00D03116"/>
    <w:rsid w:val="00D35B01"/>
    <w:rsid w:val="00DB6A6E"/>
    <w:rsid w:val="00DD212C"/>
    <w:rsid w:val="00E45C36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72D9DA44"/>
  <w15:chartTrackingRefBased/>
  <w15:docId w15:val="{E324C96B-BB77-44D3-8138-958F3E13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C36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2E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EC9"/>
    <w:rPr>
      <w:sz w:val="24"/>
      <w:szCs w:val="24"/>
    </w:rPr>
  </w:style>
  <w:style w:type="paragraph" w:styleId="Piedepgina">
    <w:name w:val="footer"/>
    <w:basedOn w:val="Normal"/>
    <w:link w:val="PiedepginaCar"/>
    <w:rsid w:val="00742E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2EC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91F76"/>
    <w:pPr>
      <w:ind w:left="720"/>
      <w:contextualSpacing/>
    </w:pPr>
  </w:style>
  <w:style w:type="paragraph" w:styleId="NormalWeb">
    <w:name w:val="Normal (Web)"/>
    <w:basedOn w:val="Normal"/>
    <w:rsid w:val="00DD212C"/>
    <w:pPr>
      <w:spacing w:before="100" w:beforeAutospacing="1" w:after="100" w:afterAutospacing="1"/>
    </w:pPr>
  </w:style>
  <w:style w:type="paragraph" w:customStyle="1" w:styleId="foral-f-parrafo-c">
    <w:name w:val="foral-f-parrafo-c"/>
    <w:basedOn w:val="Normal"/>
    <w:rsid w:val="00DD212C"/>
    <w:pPr>
      <w:spacing w:after="240"/>
    </w:pPr>
  </w:style>
  <w:style w:type="character" w:styleId="Hipervnculo">
    <w:name w:val="Hyperlink"/>
    <w:rsid w:val="00DD212C"/>
    <w:rPr>
      <w:color w:val="0000FF"/>
      <w:u w:val="single"/>
    </w:rPr>
  </w:style>
  <w:style w:type="paragraph" w:customStyle="1" w:styleId="xl1">
    <w:name w:val="xl1"/>
    <w:basedOn w:val="Normal"/>
    <w:rsid w:val="00DD212C"/>
    <w:pPr>
      <w:spacing w:after="240"/>
      <w:ind w:left="300" w:right="75" w:hanging="2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N236640</dc:creator>
  <cp:keywords/>
  <dc:description/>
  <cp:lastModifiedBy>Ros Ran, Yolanda (Instituto Navarro del Deporte)</cp:lastModifiedBy>
  <cp:revision>3</cp:revision>
  <dcterms:created xsi:type="dcterms:W3CDTF">2024-02-20T09:57:00Z</dcterms:created>
  <dcterms:modified xsi:type="dcterms:W3CDTF">2025-03-07T10:14:00Z</dcterms:modified>
</cp:coreProperties>
</file>